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9465-1_4seq1.xml.htm"/>
      <w:bookmarkStart w:id="1" w:name="kstm2619465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BACON KENNETH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ARBOR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EARLE OVINGTON BLVD,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UNIONDALE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ARBOR REALTY TRUST INC</w:t>
              </w:r>
            </w:hyperlink>
            <w:r>
              <w:rPr/>
              <w:t xml:space="preserve"> [ </w:t>
            </w:r>
            <w:r>
              <w:rPr>
                <w:rFonts w:ascii="Times;serif" w:hAnsi="Times;serif"/>
                <w:color w:val="0000FF"/>
                <w:sz w:val="24"/>
                <w:shd w:fill="FFFFFF" w:val="clear"/>
              </w:rPr>
              <w:t>ABR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5,555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5.4</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35,845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Bacon has elected to defer his cash compensation earned in 2026 for his service as a director until January 2028, or sooner upon a change in control or his service as a director is terminated, pursuant to a pre-established deferral election. Therefore, Mr. Bacon received 5,555 fully vested Restricted Stock Units of Arbor Realty Trust, Inc. (the "Company") on June 30, 2026 (the date the Company paid out the cash compensation to its directors), pursuant to the terms of the director deferred compensation plan, in lieu of his cash compensation earned.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Bishar, Attomey-in-Fact for Kenneth J. Bacon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4117" TargetMode="External"/><Relationship Id="rId5" Type="http://schemas.openxmlformats.org/officeDocument/2006/relationships/hyperlink" Target="http://www.sec.gov/cgi-bin/browse-edgar?action=getcompany&amp;CIK=00012539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3602</Characters>
  <CharactersWithSpaces>4214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