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before="432" w:after="50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10-Q</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Commission file number: 001-32136</w:t>
      </w:r>
    </w:p>
    <w:p>
      <w:pPr>
        <w:pStyle w:val="TextBody"/>
        <w:bidi w:val="0"/>
        <w:spacing w:lineRule="auto" w:line="288" w:before="120" w:after="283"/>
        <w:jc w:val="center"/>
        <w:rPr>
          <w:rFonts w:ascii="Times New Roman;serif" w:hAnsi="Times New Roman;serif"/>
          <w:b/>
          <w:color w:val="000000"/>
          <w:sz w:val="40"/>
        </w:rPr>
      </w:pPr>
      <w:r>
        <w:rPr>
          <w:rFonts w:ascii="Times New Roman;serif" w:hAnsi="Times New Roman;serif"/>
          <w:b/>
          <w:color w:val="000000"/>
          <w:sz w:val="40"/>
        </w:rPr>
        <w:t>Arbor Realty Trust, Inc.</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tbl>
      <w:tblPr>
        <w:tblW w:w="7948" w:type="dxa"/>
        <w:jc w:val="center"/>
        <w:tblInd w:w="0" w:type="dxa"/>
        <w:tblLayout w:type="fixed"/>
        <w:tblCellMar>
          <w:top w:w="28" w:type="dxa"/>
          <w:left w:w="28" w:type="dxa"/>
          <w:bottom w:w="28" w:type="dxa"/>
          <w:right w:w="28" w:type="dxa"/>
        </w:tblCellMar>
      </w:tblPr>
      <w:tblGrid>
        <w:gridCol w:w="1783"/>
        <w:gridCol w:w="1570"/>
        <w:gridCol w:w="1581"/>
        <w:gridCol w:w="881"/>
        <w:gridCol w:w="881"/>
        <w:gridCol w:w="1252"/>
      </w:tblGrid>
      <w:tr>
        <w:trPr/>
        <w:tc>
          <w:tcPr>
            <w:tcW w:w="1783"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20-0057959</w:t>
            </w:r>
          </w:p>
        </w:tc>
      </w:tr>
      <w:tr>
        <w:trPr/>
        <w:tc>
          <w:tcPr>
            <w:tcW w:w="49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(State or other jurisdiction of incorporation)</w:t>
            </w:r>
          </w:p>
        </w:tc>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(I.R.S. Employer Identification No.)</w:t>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333 Earle Ovington Boulevard, Suite 900, Uniondale, NY</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w:t>
            </w:r>
          </w:p>
        </w:tc>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11553</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(Zip Code)</w:t>
            </w:r>
          </w:p>
        </w:tc>
      </w:tr>
    </w:tbl>
    <w:p>
      <w:pPr>
        <w:pStyle w:val="TextBody"/>
        <w:bidi w:val="0"/>
        <w:spacing w:lineRule="auto" w:line="288" w:before="120" w:after="283"/>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(516) 506-4200</w:t>
      </w:r>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250"/>
        <w:gridCol w:w="1755"/>
        <w:gridCol w:w="1778"/>
        <w:gridCol w:w="109"/>
        <w:gridCol w:w="109"/>
        <w:gridCol w:w="109"/>
        <w:gridCol w:w="381"/>
        <w:gridCol w:w="376"/>
        <w:gridCol w:w="378"/>
        <w:gridCol w:w="109"/>
        <w:gridCol w:w="109"/>
        <w:gridCol w:w="109"/>
        <w:gridCol w:w="769"/>
        <w:gridCol w:w="769"/>
        <w:gridCol w:w="1095"/>
      </w:tblGrid>
      <w:tr>
        <w:trPr/>
        <w:tc>
          <w:tcPr>
            <w:tcW w:w="2250"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57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57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ABR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57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6.375% Series D Cumulative</w:t>
              <w:br/>
              <w:t>Redeemable,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ABR-PD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57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6.25% Series E Cumulative</w:t>
              <w:br/>
              <w:t>Redeemable,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ABR-PE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57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6.25% Series F Fixed-to-Floating Rate Cumulative Redeemable,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ABR-PF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bl>
    <w:p>
      <w:pPr>
        <w:pStyle w:val="TextBody"/>
        <w:bidi w:val="0"/>
        <w:spacing w:lineRule="auto" w:line="288" w:before="120" w:after="283"/>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color w:val="000000"/>
        </w:rPr>
        <w:t xml:space="preserve"> ☑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7504" w:type="dxa"/>
        <w:jc w:val="left"/>
        <w:tblInd w:w="0" w:type="dxa"/>
        <w:tblLayout w:type="fixed"/>
        <w:tblCellMar>
          <w:top w:w="28" w:type="dxa"/>
          <w:left w:w="28" w:type="dxa"/>
          <w:bottom w:w="28" w:type="dxa"/>
          <w:right w:w="28" w:type="dxa"/>
        </w:tblCellMar>
      </w:tblPr>
      <w:tblGrid>
        <w:gridCol w:w="858"/>
        <w:gridCol w:w="754"/>
        <w:gridCol w:w="757"/>
        <w:gridCol w:w="109"/>
        <w:gridCol w:w="109"/>
        <w:gridCol w:w="109"/>
        <w:gridCol w:w="769"/>
        <w:gridCol w:w="769"/>
        <w:gridCol w:w="772"/>
        <w:gridCol w:w="109"/>
        <w:gridCol w:w="109"/>
        <w:gridCol w:w="109"/>
        <w:gridCol w:w="599"/>
        <w:gridCol w:w="599"/>
        <w:gridCol w:w="601"/>
        <w:gridCol w:w="109"/>
        <w:gridCol w:w="109"/>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Smaller reporting company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Issuer has 186,558,043 shares of common stock outstanding at July 24,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480060"/>
                <wp:effectExtent l="0" t="0" r="0" b="0"/>
                <wp:wrapNone/>
                <wp:docPr id="1" name="Frame1"/>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before="480" w:after="6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80" w:after="600"/>
                        <w:jc w:val="center"/>
                        <w:rPr/>
                      </w:pPr>
                      <w:r>
                        <w:rPr/>
                      </w:r>
                    </w:p>
                  </w:txbxContent>
                </v:textbox>
                <w10:wrap type="none"/>
              </v:rect>
            </w:pict>
          </mc:Fallback>
        </mc:AlternateContent>
      </w:r>
    </w:p>
    <w:p>
      <w:pPr>
        <w:pStyle w:val="TextBody"/>
        <w:bidi w:val="0"/>
        <w:spacing w:lineRule="auto" w:line="276" w:before="0" w:after="0"/>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INDEX</w:t>
      </w:r>
    </w:p>
    <w:tbl>
      <w:tblPr>
        <w:tblW w:w="8352" w:type="dxa"/>
        <w:jc w:val="left"/>
        <w:tblInd w:w="0" w:type="dxa"/>
        <w:tblLayout w:type="fixed"/>
        <w:tblCellMar>
          <w:top w:w="28" w:type="dxa"/>
          <w:left w:w="28" w:type="dxa"/>
          <w:bottom w:w="28" w:type="dxa"/>
          <w:right w:w="28" w:type="dxa"/>
        </w:tblCellMar>
      </w:tblPr>
      <w:tblGrid>
        <w:gridCol w:w="2890"/>
        <w:gridCol w:w="2540"/>
        <w:gridCol w:w="2550"/>
        <w:gridCol w:w="109"/>
        <w:gridCol w:w="109"/>
        <w:gridCol w:w="154"/>
      </w:tblGrid>
      <w:tr>
        <w:trPr/>
        <w:tc>
          <w:tcPr>
            <w:tcW w:w="2890"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f91a529d264cd6a63b807ade0c0d92_13">
              <w:r>
                <w:rPr>
                  <w:rStyle w:val="InternetLink"/>
                  <w:rFonts w:ascii="Times New Roman;serif" w:hAnsi="Times New Roman;serif"/>
                  <w:b/>
                  <w:color w:val="0000FF"/>
                  <w:sz w:val="20"/>
                  <w:u w:val="single"/>
                </w:rPr>
                <w:t>PART I. FINANCIAL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f91a529d264cd6a63b807ade0c0d92_16">
              <w:r>
                <w:rPr>
                  <w:rStyle w:val="InternetLink"/>
                  <w:rFonts w:ascii="Times New Roman;serif" w:hAnsi="Times New Roman;serif"/>
                  <w:b w:val="false"/>
                  <w:color w:val="0000FF"/>
                  <w:sz w:val="20"/>
                  <w:u w:val="single"/>
                </w:rPr>
                <w:t>Item 1. 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2f91a529d264cd6a63b807ade0c0d92_16">
              <w:r>
                <w:rPr>
                  <w:rStyle w:val="InternetLink"/>
                  <w:rFonts w:ascii="Times New Roman;serif" w:hAnsi="Times New Roman;serif"/>
                  <w:b w:val="false"/>
                  <w:strike w:val="false"/>
                  <w:dstrike w:val="false"/>
                  <w:color w:val="000000"/>
                  <w:sz w:val="20"/>
                  <w:u w:val="none"/>
                  <w:effect w:val="none"/>
                </w:rPr>
                <w:t>2</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f91a529d264cd6a63b807ade0c0d92_19">
              <w:r>
                <w:rPr>
                  <w:rStyle w:val="InternetLink"/>
                  <w:rFonts w:ascii="Times New Roman;serif" w:hAnsi="Times New Roman;serif"/>
                  <w:b w:val="false"/>
                  <w:color w:val="0000FF"/>
                  <w:sz w:val="20"/>
                  <w:u w:val="single"/>
                </w:rPr>
                <w:t>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2f91a529d264cd6a63b807ade0c0d92_19">
              <w:r>
                <w:rPr>
                  <w:rStyle w:val="InternetLink"/>
                  <w:rFonts w:ascii="Times New Roman;serif" w:hAnsi="Times New Roman;serif"/>
                  <w:b w:val="false"/>
                  <w:strike w:val="false"/>
                  <w:dstrike w:val="false"/>
                  <w:color w:val="000000"/>
                  <w:sz w:val="20"/>
                  <w:u w:val="none"/>
                  <w:effect w:val="none"/>
                </w:rPr>
                <w:t>2</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f91a529d264cd6a63b807ade0c0d92_22">
              <w:r>
                <w:rPr>
                  <w:rStyle w:val="InternetLink"/>
                  <w:rFonts w:ascii="Times New Roman;serif" w:hAnsi="Times New Roman;serif"/>
                  <w:b w:val="false"/>
                  <w:color w:val="0000FF"/>
                  <w:sz w:val="20"/>
                  <w:u w:val="single"/>
                </w:rPr>
                <w:t>Consolidated Statements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2f91a529d264cd6a63b807ade0c0d92_22">
              <w:r>
                <w:rPr>
                  <w:rStyle w:val="InternetLink"/>
                  <w:rFonts w:ascii="Times New Roman;serif" w:hAnsi="Times New Roman;serif"/>
                  <w:b w:val="false"/>
                  <w:strike w:val="false"/>
                  <w:dstrike w:val="false"/>
                  <w:color w:val="000000"/>
                  <w:sz w:val="20"/>
                  <w:u w:val="none"/>
                  <w:effect w:val="none"/>
                </w:rPr>
                <w:t>3</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f91a529d264cd6a63b807ade0c0d92_25">
              <w:r>
                <w:rPr>
                  <w:rStyle w:val="InternetLink"/>
                  <w:rFonts w:ascii="Times New Roman;serif" w:hAnsi="Times New Roman;serif"/>
                  <w:b w:val="false"/>
                  <w:color w:val="0000FF"/>
                  <w:sz w:val="20"/>
                  <w:u w:val="single"/>
                </w:rPr>
                <w:t>Consolidated Statements of Changes in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2f91a529d264cd6a63b807ade0c0d92_25">
              <w:r>
                <w:rPr>
                  <w:rStyle w:val="InternetLink"/>
                  <w:rFonts w:ascii="Times New Roman;serif" w:hAnsi="Times New Roman;serif"/>
                  <w:b w:val="false"/>
                  <w:strike w:val="false"/>
                  <w:dstrike w:val="false"/>
                  <w:color w:val="000000"/>
                  <w:sz w:val="20"/>
                  <w:u w:val="none"/>
                  <w:effect w:val="none"/>
                </w:rPr>
                <w:t>4</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f91a529d264cd6a63b807ade0c0d92_28">
              <w:r>
                <w:rPr>
                  <w:rStyle w:val="InternetLink"/>
                  <w:rFonts w:ascii="Times New Roman;serif" w:hAnsi="Times New Roman;serif"/>
                  <w:b w:val="false"/>
                  <w:color w:val="0000FF"/>
                  <w:sz w:val="20"/>
                  <w:u w:val="single"/>
                </w:rPr>
                <w:t>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2f91a529d264cd6a63b807ade0c0d92_28">
              <w:r>
                <w:rPr>
                  <w:rStyle w:val="InternetLink"/>
                  <w:rFonts w:ascii="Times New Roman;serif" w:hAnsi="Times New Roman;serif"/>
                  <w:b w:val="false"/>
                  <w:strike w:val="false"/>
                  <w:dstrike w:val="false"/>
                  <w:color w:val="000000"/>
                  <w:sz w:val="20"/>
                  <w:u w:val="none"/>
                  <w:effect w:val="none"/>
                </w:rPr>
                <w:t>6</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f91a529d264cd6a63b807ade0c0d92_34">
              <w:r>
                <w:rPr>
                  <w:rStyle w:val="InternetLink"/>
                  <w:rFonts w:ascii="Times New Roman;serif" w:hAnsi="Times New Roman;serif"/>
                  <w:b w:val="false"/>
                  <w:color w:val="0000FF"/>
                  <w:sz w:val="20"/>
                  <w:u w:val="single"/>
                </w:rPr>
                <w:t>Notes to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2f91a529d264cd6a63b807ade0c0d92_34">
              <w:r>
                <w:rPr>
                  <w:rStyle w:val="InternetLink"/>
                  <w:rFonts w:ascii="Times New Roman;serif" w:hAnsi="Times New Roman;serif"/>
                  <w:b w:val="false"/>
                  <w:strike w:val="false"/>
                  <w:dstrike w:val="false"/>
                  <w:color w:val="000000"/>
                  <w:sz w:val="20"/>
                  <w:u w:val="none"/>
                  <w:effect w:val="none"/>
                </w:rPr>
                <w:t>8</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f91a529d264cd6a63b807ade0c0d92_100">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2f91a529d264cd6a63b807ade0c0d92_100">
              <w:r>
                <w:rPr>
                  <w:rStyle w:val="InternetLink"/>
                  <w:rFonts w:ascii="Times New Roman;serif" w:hAnsi="Times New Roman;serif"/>
                  <w:b w:val="false"/>
                  <w:strike w:val="false"/>
                  <w:dstrike w:val="false"/>
                  <w:color w:val="000000"/>
                  <w:sz w:val="20"/>
                  <w:u w:val="none"/>
                  <w:effect w:val="none"/>
                </w:rPr>
                <w:t>52</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f91a529d264cd6a63b807ade0c0d92_136">
              <w:r>
                <w:rPr>
                  <w:rStyle w:val="InternetLink"/>
                  <w:rFonts w:ascii="Times New Roman;serif" w:hAnsi="Times New Roman;serif"/>
                  <w:b w:val="false"/>
                  <w:color w:val="0000FF"/>
                  <w:sz w:val="20"/>
                  <w:u w:val="single"/>
                </w:rPr>
                <w:t>Item 3. 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2f91a529d264cd6a63b807ade0c0d92_136">
              <w:r>
                <w:rPr>
                  <w:rStyle w:val="InternetLink"/>
                  <w:rFonts w:ascii="Times New Roman;serif" w:hAnsi="Times New Roman;serif"/>
                  <w:b w:val="false"/>
                  <w:strike w:val="false"/>
                  <w:dstrike w:val="false"/>
                  <w:color w:val="000000"/>
                  <w:sz w:val="20"/>
                  <w:u w:val="none"/>
                  <w:effect w:val="none"/>
                </w:rPr>
                <w:t>66</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f91a529d264cd6a63b807ade0c0d92_139">
              <w:r>
                <w:rPr>
                  <w:rStyle w:val="InternetLink"/>
                  <w:rFonts w:ascii="Times New Roman;serif" w:hAnsi="Times New Roman;serif"/>
                  <w:b w:val="false"/>
                  <w:color w:val="0000FF"/>
                  <w:sz w:val="20"/>
                  <w:u w:val="single"/>
                </w:rPr>
                <w:t>Item 4. 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2f91a529d264cd6a63b807ade0c0d92_139">
              <w:r>
                <w:rPr>
                  <w:rStyle w:val="InternetLink"/>
                  <w:rFonts w:ascii="Times New Roman;serif" w:hAnsi="Times New Roman;serif"/>
                  <w:b w:val="false"/>
                  <w:strike w:val="false"/>
                  <w:dstrike w:val="false"/>
                  <w:color w:val="000000"/>
                  <w:sz w:val="20"/>
                  <w:u w:val="none"/>
                  <w:effect w:val="none"/>
                </w:rPr>
                <w:t>67</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f91a529d264cd6a63b807ade0c0d92_142">
              <w:r>
                <w:rPr>
                  <w:rStyle w:val="InternetLink"/>
                  <w:rFonts w:ascii="Times New Roman;serif" w:hAnsi="Times New Roman;serif"/>
                  <w:b/>
                  <w:color w:val="0000FF"/>
                  <w:sz w:val="20"/>
                  <w:u w:val="single"/>
                </w:rPr>
                <w:t>PART II. OTHER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f91a529d264cd6a63b807ade0c0d92_145">
              <w:r>
                <w:rPr>
                  <w:rStyle w:val="InternetLink"/>
                  <w:rFonts w:ascii="Times New Roman;serif" w:hAnsi="Times New Roman;serif"/>
                  <w:b w:val="false"/>
                  <w:color w:val="0000FF"/>
                  <w:sz w:val="20"/>
                  <w:u w:val="single"/>
                </w:rPr>
                <w:t>Item 1. 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2f91a529d264cd6a63b807ade0c0d92_145">
              <w:r>
                <w:rPr>
                  <w:rStyle w:val="InternetLink"/>
                  <w:rFonts w:ascii="Times New Roman;serif" w:hAnsi="Times New Roman;serif"/>
                  <w:b w:val="false"/>
                  <w:strike w:val="false"/>
                  <w:dstrike w:val="false"/>
                  <w:color w:val="000000"/>
                  <w:sz w:val="20"/>
                  <w:u w:val="none"/>
                  <w:effect w:val="none"/>
                </w:rPr>
                <w:t>67</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f91a529d264cd6a63b807ade0c0d92_148">
              <w:r>
                <w:rPr>
                  <w:rStyle w:val="InternetLink"/>
                  <w:rFonts w:ascii="Times New Roman;serif" w:hAnsi="Times New Roman;serif"/>
                  <w:b w:val="false"/>
                  <w:color w:val="0000FF"/>
                  <w:sz w:val="20"/>
                  <w:u w:val="single"/>
                </w:rPr>
                <w:t>Item 1A. 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2f91a529d264cd6a63b807ade0c0d92_148">
              <w:r>
                <w:rPr>
                  <w:rStyle w:val="InternetLink"/>
                  <w:rFonts w:ascii="Times New Roman;serif" w:hAnsi="Times New Roman;serif"/>
                  <w:b w:val="false"/>
                  <w:strike w:val="false"/>
                  <w:dstrike w:val="false"/>
                  <w:color w:val="000000"/>
                  <w:sz w:val="20"/>
                  <w:u w:val="none"/>
                  <w:effect w:val="none"/>
                </w:rPr>
                <w:t>67</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f91a529d264cd6a63b807ade0c0d92_151">
              <w:r>
                <w:rPr>
                  <w:rStyle w:val="InternetLink"/>
                  <w:rFonts w:ascii="Times New Roman;serif" w:hAnsi="Times New Roman;serif"/>
                  <w:b w:val="false"/>
                  <w:color w:val="0000FF"/>
                  <w:sz w:val="20"/>
                  <w:u w:val="single"/>
                </w:rPr>
                <w:t>Item 2. 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2f91a529d264cd6a63b807ade0c0d92_151">
              <w:r>
                <w:rPr>
                  <w:rStyle w:val="InternetLink"/>
                  <w:rFonts w:ascii="Times New Roman;serif" w:hAnsi="Times New Roman;serif"/>
                  <w:b w:val="false"/>
                  <w:strike w:val="false"/>
                  <w:dstrike w:val="false"/>
                  <w:color w:val="000000"/>
                  <w:sz w:val="20"/>
                  <w:u w:val="none"/>
                  <w:effect w:val="none"/>
                </w:rPr>
                <w:t>68</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f91a529d264cd6a63b807ade0c0d92_154">
              <w:r>
                <w:rPr>
                  <w:rStyle w:val="InternetLink"/>
                  <w:rFonts w:ascii="Times New Roman;serif" w:hAnsi="Times New Roman;serif"/>
                  <w:b w:val="false"/>
                  <w:color w:val="0000FF"/>
                  <w:sz w:val="20"/>
                  <w:u w:val="single"/>
                </w:rPr>
                <w:t>Item 3. 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2f91a529d264cd6a63b807ade0c0d92_154">
              <w:r>
                <w:rPr>
                  <w:rStyle w:val="InternetLink"/>
                  <w:rFonts w:ascii="Times New Roman;serif" w:hAnsi="Times New Roman;serif"/>
                  <w:b w:val="false"/>
                  <w:strike w:val="false"/>
                  <w:dstrike w:val="false"/>
                  <w:color w:val="000000"/>
                  <w:sz w:val="20"/>
                  <w:u w:val="none"/>
                  <w:effect w:val="none"/>
                </w:rPr>
                <w:t>68</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f91a529d264cd6a63b807ade0c0d92_157">
              <w:r>
                <w:rPr>
                  <w:rStyle w:val="InternetLink"/>
                  <w:rFonts w:ascii="Times New Roman;serif" w:hAnsi="Times New Roman;serif"/>
                  <w:b w:val="false"/>
                  <w:color w:val="0000FF"/>
                  <w:sz w:val="20"/>
                  <w:u w:val="single"/>
                </w:rPr>
                <w:t>Item 5.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2f91a529d264cd6a63b807ade0c0d92_157">
              <w:r>
                <w:rPr>
                  <w:rStyle w:val="InternetLink"/>
                  <w:rFonts w:ascii="Times New Roman;serif" w:hAnsi="Times New Roman;serif"/>
                  <w:b w:val="false"/>
                  <w:strike w:val="false"/>
                  <w:dstrike w:val="false"/>
                  <w:color w:val="000000"/>
                  <w:sz w:val="20"/>
                  <w:u w:val="none"/>
                  <w:effect w:val="none"/>
                </w:rPr>
                <w:t>68</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f91a529d264cd6a63b807ade0c0d92_160">
              <w:r>
                <w:rPr>
                  <w:rStyle w:val="InternetLink"/>
                  <w:rFonts w:ascii="Times New Roman;serif" w:hAnsi="Times New Roman;serif"/>
                  <w:b w:val="false"/>
                  <w:color w:val="0000FF"/>
                  <w:sz w:val="20"/>
                  <w:u w:val="single"/>
                </w:rPr>
                <w:t>Item 6. 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2f91a529d264cd6a63b807ade0c0d92_160">
              <w:r>
                <w:rPr>
                  <w:rStyle w:val="InternetLink"/>
                  <w:rFonts w:ascii="Times New Roman;serif" w:hAnsi="Times New Roman;serif"/>
                  <w:b w:val="false"/>
                  <w:strike w:val="false"/>
                  <w:dstrike w:val="false"/>
                  <w:color w:val="000000"/>
                  <w:sz w:val="20"/>
                  <w:u w:val="none"/>
                  <w:effect w:val="none"/>
                </w:rPr>
                <w:t>69</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f91a529d264cd6a63b807ade0c0d92_163">
              <w:r>
                <w:rPr>
                  <w:rStyle w:val="InternetLink"/>
                  <w:rFonts w:ascii="Times New Roman;serif" w:hAnsi="Times New Roman;serif"/>
                  <w:b/>
                  <w:color w:val="0000FF"/>
                  <w:sz w:val="20"/>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2f91a529d264cd6a63b807ade0c0d92_163">
              <w:r>
                <w:rPr>
                  <w:rStyle w:val="InternetLink"/>
                  <w:rFonts w:ascii="Times New Roman;serif" w:hAnsi="Times New Roman;serif"/>
                  <w:b w:val="false"/>
                  <w:strike w:val="false"/>
                  <w:dstrike w:val="false"/>
                  <w:color w:val="000000"/>
                  <w:sz w:val="20"/>
                  <w:u w:val="none"/>
                  <w:effect w:val="none"/>
                </w:rPr>
                <w:t>70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quarterly report on Form 10-Q is not a complete description of our business or the risks associated with an investment in Arbor Realty Trust, Inc. We urge you to carefully review and consider the various disclosures in this report, as well as information in our annual report on Form 10-K for the year ended December 31, 2025 (the “2025 Annual Report”) filed with the Securities and Exchange Commission (“SEC”) on February 27, 2026 and in our other reports and filings with the SEC.</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This report contains certain “forward-looking statements” within the meaning of the Private Securities Litigation Reform Act of 1995. Such forward-looking statements relate to, among other things, the operating performance of our investments and financing needs. We use words such as “anticipate,” “expect,” “believe,” “intend,” “should,” “could,” “will,” “may” and similar expressions to identify forward-looking statements, although not all forward-looking statements include these words. Forward-looking statements are based on certain assumptions, discuss future expectations, describe future plans and strategies, contain projections of results of operations or of financial condition or state other forward-looking information. Our ability to predict results or the actual effect of future plans or strategies is inherently uncertain. These forward-looking statements involve risks, uncertainties and other factors that may cause our actual results in future periods to differ materially from forecasted results. Factors that could have a material adverse effect on our results of operations, financial condition and future prospects include, but are not limited to, economic, macroeconomic and geopolitical conditions; the real estate market; adverse changes in our status with government-sponsored enterprises affecting our ability to originate loans through such programs; changes in interest rates; the quality and size of the investment pipeline and the rate at which we can invest our cash; impairments in the value of the collateral underlying our loans and investments; inflation; changes in federal and state laws and regulations, including changes in tax laws; the availability and cost of capital for future investments; and competition. Readers are cautioned not to place undue reliance on any of these forward-looking statements, which reflect our views as of the date of this report. The factors noted above could cause our actual results to differ significantly from those contained in any forward-looking statement.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Although we believe the expectations reflected in the forward-looking statements are reasonable, we cannot guarantee future results, levels of activity, performance or achievements. We are under no duty to update any of the forward-looking statements after the date of this report to conform these statements to actual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0" w:after="0"/>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ARBOR REALTY TRUST, INC.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BALANCE SHEETS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in thousands, except share and per share data)</w:t>
      </w:r>
    </w:p>
    <w:tbl>
      <w:tblPr>
        <w:tblW w:w="10205" w:type="dxa"/>
        <w:jc w:val="left"/>
        <w:tblInd w:w="0" w:type="dxa"/>
        <w:tblLayout w:type="fixed"/>
        <w:tblCellMar>
          <w:top w:w="28" w:type="dxa"/>
          <w:left w:w="28" w:type="dxa"/>
          <w:bottom w:w="28" w:type="dxa"/>
          <w:right w:w="28" w:type="dxa"/>
        </w:tblCellMar>
      </w:tblPr>
      <w:tblGrid>
        <w:gridCol w:w="2639"/>
        <w:gridCol w:w="2228"/>
        <w:gridCol w:w="2260"/>
        <w:gridCol w:w="196"/>
        <w:gridCol w:w="961"/>
        <w:gridCol w:w="109"/>
        <w:gridCol w:w="109"/>
        <w:gridCol w:w="109"/>
        <w:gridCol w:w="109"/>
        <w:gridCol w:w="221"/>
        <w:gridCol w:w="1087"/>
        <w:gridCol w:w="177"/>
      </w:tblGrid>
      <w:tr>
        <w:trPr/>
        <w:tc>
          <w:tcPr>
            <w:tcW w:w="2639"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287,525 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482,875 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Restricted cash </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67,347 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Loans and investments, net (allowance for credit losses of $163,431 and $145,971)</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11,915,216 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11,934,248 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held-for-sale,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375,797 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409,081 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Capitalized mortgage servicing rights,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323,887 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340,842 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Securities held-to-maturity, net (allowance for credit losses of $14,343 and $17,013)</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156,087 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in equity affiliates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57,966 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owned,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545,946 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498,938 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Goodwill and other intangible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86,553 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assets </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440,403 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460,966 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14,352,825 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14,494,903 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Liabilities and Equity:</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Credit and repurchase facilities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5,812,258 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5,149,651 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Securitized debt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2,972,246 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3,468,258 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Senior unsecured notes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1,857,769 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2,029,078 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Junior subordinated notes to subsidiary trust issuing preferred securities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145,497 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Notes payable - real estate owned</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270,410 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222,965 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Due to borrowers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33,451 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loss-sharing obligations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97,579 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266,752 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281,271 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11,471,802 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11,427,750 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(Note 14)</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Arbor Realty Trust, Inc. stockholders' equity:</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cumulative, redeemable, $0.01 par value: 100,000,000 shares authorized, shares issued and outstanding by period:</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633,683 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633,683 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6"/>
              </w:rPr>
              <w:t xml:space="preserve">Special voting preferred shares - 16,170,218 and 16,169,858 shares </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6"/>
              </w:rPr>
              <w:t>6.375% Series D - 9,200,000 shares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6"/>
              </w:rPr>
              <w:t>6.25% Series E - 5,750,000 shares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6"/>
              </w:rPr>
              <w:t>6.25% Series F - 11,342,000 shares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$0.01 par value: 500,000,000 shares authorized - 188,981,757 and 195,491,855 shares issued and outstanding</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2,409,539 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2,454,312 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(267,177)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(136,597)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Arbor Realty Trust, Inc. stockholders' equity</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2,777,935 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2,953,353 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113,800 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equity</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2,881,023 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3,067,153 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liabilities and equity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14,352,825 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14,494,903 </w:t>
            </w:r>
          </w:p>
        </w:tc>
        <w:tc>
          <w:tcPr>
            <w:tcW w:w="1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color w:val="000000"/>
          <w:sz w:val="16"/>
        </w:rPr>
      </w:pPr>
      <w:r>
        <w:rPr>
          <w:rFonts w:ascii="Times New Roman;serif" w:hAnsi="Times New Roman;serif"/>
          <w:b w:val="false"/>
          <w:color w:val="000000"/>
          <w:sz w:val="16"/>
        </w:rPr>
        <w:t>Note: Our consolidated balance sheets include assets and liabilities of consolidated variable interest entities ("VIEs,") as we are the primary beneficiary of these VIEs. At June 30, 2026 and December 31, 2025, assets of our consolidated VIEs totaled $3,790,046 and $4,662,021, respectively, and the liabilities of our consolidated VIEs totaled $2,978,886 and $3,477,848, respectively. See Note 15 for discussion of our VIEs.</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0"/>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ARBOR REALTY TRUST, INC.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OPERATIONS (Unaudited)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in thousands, except share and per share data)</w:t>
      </w:r>
    </w:p>
    <w:tbl>
      <w:tblPr>
        <w:tblW w:w="10205" w:type="dxa"/>
        <w:jc w:val="left"/>
        <w:tblInd w:w="0" w:type="dxa"/>
        <w:tblLayout w:type="fixed"/>
        <w:tblCellMar>
          <w:top w:w="28" w:type="dxa"/>
          <w:left w:w="28" w:type="dxa"/>
          <w:bottom w:w="28" w:type="dxa"/>
          <w:right w:w="28" w:type="dxa"/>
        </w:tblCellMar>
      </w:tblPr>
      <w:tblGrid>
        <w:gridCol w:w="1835"/>
        <w:gridCol w:w="1224"/>
        <w:gridCol w:w="1236"/>
        <w:gridCol w:w="241"/>
        <w:gridCol w:w="945"/>
        <w:gridCol w:w="109"/>
        <w:gridCol w:w="109"/>
        <w:gridCol w:w="109"/>
        <w:gridCol w:w="109"/>
        <w:gridCol w:w="211"/>
        <w:gridCol w:w="826"/>
        <w:gridCol w:w="109"/>
        <w:gridCol w:w="109"/>
        <w:gridCol w:w="109"/>
        <w:gridCol w:w="109"/>
        <w:gridCol w:w="241"/>
        <w:gridCol w:w="945"/>
        <w:gridCol w:w="109"/>
        <w:gridCol w:w="109"/>
        <w:gridCol w:w="109"/>
        <w:gridCol w:w="109"/>
        <w:gridCol w:w="211"/>
        <w:gridCol w:w="826"/>
        <w:gridCol w:w="156"/>
      </w:tblGrid>
      <w:tr>
        <w:trPr/>
        <w:tc>
          <w:tcPr>
            <w:tcW w:w="183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230,858 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240,303 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465,905 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480,997 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336,829 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112,942 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144,168 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revenue:</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sales, including fee-based services,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servicing rights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revenue,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derivative instruments,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revenue</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120,327 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120,405 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expenses:</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expenses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 on real estate owned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loss sharing,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251,406 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172,337 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extinguishment of debt, gain (loss) on real estate, income from equity affiliates and income taxes</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(18,137)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92,236 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real estate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affiliates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(30,165)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(19,141)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79,690 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dividends</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20,684 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noncontrolling interest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common stockholders</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(37,342)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54,389 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(loss) earnings per common share</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(loss) earnings per common share</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190,806,800 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192,236,206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192,491,494 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191,154,501</w:t>
            </w:r>
          </w:p>
        </w:tc>
      </w:tr>
      <w:tr>
        <w:trPr/>
        <w:tc>
          <w:tcPr>
            <w:tcW w:w="4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190,806,800 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209,003,002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192,491,494 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207,938,574</w:t>
            </w:r>
          </w:p>
        </w:tc>
      </w:tr>
      <w:tr>
        <w:trPr/>
        <w:tc>
          <w:tcPr>
            <w:tcW w:w="4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per common share</w:t>
            </w:r>
          </w:p>
        </w:tc>
        <w:tc>
          <w:tcPr>
            <w:tcW w:w="2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0" w:after="0"/>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ARBOR REALTY TRUST, INC.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CHANGES IN EQUITY (Unaudited)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in thousands, except shares)</w:t>
      </w:r>
    </w:p>
    <w:tbl>
      <w:tblPr>
        <w:tblW w:w="14303" w:type="dxa"/>
        <w:jc w:val="center"/>
        <w:tblInd w:w="0" w:type="dxa"/>
        <w:tblLayout w:type="fixed"/>
        <w:tblCellMar>
          <w:top w:w="28" w:type="dxa"/>
          <w:left w:w="28" w:type="dxa"/>
          <w:bottom w:w="28" w:type="dxa"/>
          <w:right w:w="28" w:type="dxa"/>
        </w:tblCellMar>
      </w:tblPr>
      <w:tblGrid>
        <w:gridCol w:w="830"/>
        <w:gridCol w:w="215"/>
        <w:gridCol w:w="216"/>
        <w:gridCol w:w="480"/>
        <w:gridCol w:w="481"/>
        <w:gridCol w:w="276"/>
        <w:gridCol w:w="109"/>
        <w:gridCol w:w="109"/>
        <w:gridCol w:w="109"/>
        <w:gridCol w:w="196"/>
        <w:gridCol w:w="736"/>
        <w:gridCol w:w="109"/>
        <w:gridCol w:w="109"/>
        <w:gridCol w:w="109"/>
        <w:gridCol w:w="109"/>
        <w:gridCol w:w="525"/>
        <w:gridCol w:w="526"/>
        <w:gridCol w:w="276"/>
        <w:gridCol w:w="109"/>
        <w:gridCol w:w="109"/>
        <w:gridCol w:w="109"/>
        <w:gridCol w:w="196"/>
        <w:gridCol w:w="556"/>
        <w:gridCol w:w="109"/>
        <w:gridCol w:w="109"/>
        <w:gridCol w:w="109"/>
        <w:gridCol w:w="109"/>
        <w:gridCol w:w="196"/>
        <w:gridCol w:w="871"/>
        <w:gridCol w:w="109"/>
        <w:gridCol w:w="109"/>
        <w:gridCol w:w="109"/>
        <w:gridCol w:w="109"/>
        <w:gridCol w:w="208"/>
        <w:gridCol w:w="800"/>
        <w:gridCol w:w="118"/>
        <w:gridCol w:w="109"/>
        <w:gridCol w:w="109"/>
        <w:gridCol w:w="109"/>
        <w:gridCol w:w="196"/>
        <w:gridCol w:w="871"/>
        <w:gridCol w:w="109"/>
        <w:gridCol w:w="109"/>
        <w:gridCol w:w="109"/>
        <w:gridCol w:w="109"/>
        <w:gridCol w:w="237"/>
        <w:gridCol w:w="891"/>
        <w:gridCol w:w="133"/>
        <w:gridCol w:w="109"/>
        <w:gridCol w:w="109"/>
        <w:gridCol w:w="109"/>
        <w:gridCol w:w="196"/>
        <w:gridCol w:w="871"/>
        <w:gridCol w:w="154"/>
      </w:tblGrid>
      <w:tr>
        <w:trPr/>
        <w:tc>
          <w:tcPr>
            <w:tcW w:w="83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03" w:type="dxa"/>
            <w:gridSpan w:val="5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r>
      <w:tr>
        <w:trPr/>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Preferred</w:t>
              <w:br/>
              <w:t xml:space="preserve">Stock </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Preferred</w:t>
              <w:br/>
              <w:t xml:space="preserve">Stock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w:t>
              <w:br/>
              <w:t>Stock</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w:t>
              <w:br/>
              <w:t xml:space="preserve">Stock </w:t>
              <w:br/>
              <w:t>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Arbor</w:t>
              <w:br/>
              <w:t>Realty Trust, Inc.</w:t>
              <w:br/>
              <w:t>Stockholders’</w:t>
              <w:b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Noncontrolling</w:t>
              <w:b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Equity</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 April 1, 2026</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42,462,218 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633,683 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192,370,465 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2,428,500 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(194,058)</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2,870,049 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109,001 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2,979,050 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(3,550,691)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(20,850)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161,983 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(32,442)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(32,442)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 preferred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(13,677)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 noncontrolling interest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(27,000)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(3,165)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 June 30, 2026</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42,462,218 </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633,683 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188,981,757 </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2,409,539 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(267,177)</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2,777,935 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103,088 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2,881,023 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03" w:type="dxa"/>
            <w:gridSpan w:val="5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 January 1, 2026</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42,461,858 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633,683 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195,491,855 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2,454,312 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(136,597)</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2,953,353 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113,800 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3,067,153 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(7,668,592)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(51,583)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1,158,494 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(90,527)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(90,527)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 preferred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(24,024)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 noncontrolling interest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(7,600)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Redemption of OP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(16,029)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 June 30, 2026</w:t>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42,462,218 </w:t>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633,683 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188,981,757 </w:t>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2,409,539 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(267,177)</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2,777,935 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103,088 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2,881,023 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0" w:after="0"/>
        <w:jc w:val="left"/>
        <w:rPr/>
      </w:pPr>
      <w:hyperlink w:anchor="i82f91a529d264cd6a63b807ade0c0d92_7">
        <w:r>
          <w:rPr>
            <w:rStyle w:val="InternetLink"/>
            <w:rFonts w:ascii="Times New Roman;serif" w:hAnsi="Times New Roman;serif"/>
            <w:b w:val="false"/>
            <w:color w:val="0000FF"/>
            <w:sz w:val="20"/>
            <w:u w:val="single"/>
          </w:rPr>
          <w:t>Table of Contents</w:t>
        </w:r>
      </w:hyperlink>
    </w:p>
    <w:tbl>
      <w:tblPr>
        <w:tblW w:w="14423" w:type="dxa"/>
        <w:jc w:val="center"/>
        <w:tblInd w:w="0" w:type="dxa"/>
        <w:tblLayout w:type="fixed"/>
        <w:tblCellMar>
          <w:top w:w="28" w:type="dxa"/>
          <w:left w:w="28" w:type="dxa"/>
          <w:bottom w:w="28" w:type="dxa"/>
          <w:right w:w="28" w:type="dxa"/>
        </w:tblCellMar>
      </w:tblPr>
      <w:tblGrid>
        <w:gridCol w:w="816"/>
        <w:gridCol w:w="229"/>
        <w:gridCol w:w="216"/>
        <w:gridCol w:w="480"/>
        <w:gridCol w:w="481"/>
        <w:gridCol w:w="276"/>
        <w:gridCol w:w="109"/>
        <w:gridCol w:w="109"/>
        <w:gridCol w:w="109"/>
        <w:gridCol w:w="196"/>
        <w:gridCol w:w="736"/>
        <w:gridCol w:w="109"/>
        <w:gridCol w:w="109"/>
        <w:gridCol w:w="109"/>
        <w:gridCol w:w="109"/>
        <w:gridCol w:w="525"/>
        <w:gridCol w:w="526"/>
        <w:gridCol w:w="276"/>
        <w:gridCol w:w="109"/>
        <w:gridCol w:w="109"/>
        <w:gridCol w:w="109"/>
        <w:gridCol w:w="196"/>
        <w:gridCol w:w="556"/>
        <w:gridCol w:w="109"/>
        <w:gridCol w:w="109"/>
        <w:gridCol w:w="109"/>
        <w:gridCol w:w="109"/>
        <w:gridCol w:w="196"/>
        <w:gridCol w:w="871"/>
        <w:gridCol w:w="109"/>
        <w:gridCol w:w="109"/>
        <w:gridCol w:w="109"/>
        <w:gridCol w:w="109"/>
        <w:gridCol w:w="252"/>
        <w:gridCol w:w="852"/>
        <w:gridCol w:w="142"/>
        <w:gridCol w:w="109"/>
        <w:gridCol w:w="109"/>
        <w:gridCol w:w="109"/>
        <w:gridCol w:w="196"/>
        <w:gridCol w:w="871"/>
        <w:gridCol w:w="109"/>
        <w:gridCol w:w="109"/>
        <w:gridCol w:w="109"/>
        <w:gridCol w:w="109"/>
        <w:gridCol w:w="237"/>
        <w:gridCol w:w="891"/>
        <w:gridCol w:w="133"/>
        <w:gridCol w:w="109"/>
        <w:gridCol w:w="109"/>
        <w:gridCol w:w="109"/>
        <w:gridCol w:w="196"/>
        <w:gridCol w:w="871"/>
        <w:gridCol w:w="154"/>
      </w:tblGrid>
      <w:tr>
        <w:trPr/>
        <w:tc>
          <w:tcPr>
            <w:tcW w:w="81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23" w:type="dxa"/>
            <w:gridSpan w:val="5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r>
      <w:tr>
        <w:trPr/>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Preferred</w:t>
              <w:br/>
              <w:t xml:space="preserve">Stock </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Preferred</w:t>
              <w:br/>
              <w:t xml:space="preserve">Stock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w:t>
              <w:br/>
              <w:t>Stock</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w:t>
              <w:br/>
              <w:t xml:space="preserve">Stock </w:t>
              <w:br/>
              <w:t>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18"/>
              </w:rPr>
              <w:t xml:space="preserve">(Accumulated </w:t>
              <w:br/>
              <w:t xml:space="preserve">Deficit) </w:t>
              <w:br/>
              <w:t xml:space="preserve">Retained </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Arbor</w:t>
              <w:br/>
              <w:t>Realty Trust, Inc.</w:t>
              <w:br/>
              <w:t>Stockholders’</w:t>
              <w:b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Noncontrolling</w:t>
              <w:b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Equity</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 April 1, 2025</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42,465,761 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633,682 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192,161,707 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2,410,499 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(38,600)</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3,007,503 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121,956 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3,129,459 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145,000 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(5,293)</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(57,870)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(57,870)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(57,870)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 preferred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(10,345)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 noncontrolling interest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(4,852)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34,294 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36,309 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 June 30, 2025</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42,465,761 </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633,682 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192,301,414 </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2,411,661 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(72,521)</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2,974,744 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119,119 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3,093,863 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3" w:type="dxa"/>
            <w:gridSpan w:val="5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 January 1, 2025</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42,585,589 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633,684 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189,259,435 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2,375,469 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13,039 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3,024,085 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127,885 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3,151,970 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2,508,750 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533,229 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(139,941)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(139,941)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 preferred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(20,692)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 noncontrolling interest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(11,808)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Redemption of OP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(119,828)</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75,073 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4,617 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 June 30, 2025</w:t>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42,465,761 </w:t>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633,682 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192,301,414 </w:t>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2,411,661 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(72,521)</w:t>
            </w:r>
          </w:p>
        </w:tc>
        <w:tc>
          <w:tcPr>
            <w:tcW w:w="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2,974,744 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119,119 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3,093,863 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0" w:after="0"/>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ARBOR REALTY TRUST, INC. AND SUBSIDIARIES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CONSOLIDATED STATEMENTS OF CASH FLOWS (Unaudited)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tbl>
      <w:tblPr>
        <w:tblW w:w="8615" w:type="dxa"/>
        <w:jc w:val="center"/>
        <w:tblInd w:w="0" w:type="dxa"/>
        <w:tblLayout w:type="fixed"/>
        <w:tblCellMar>
          <w:top w:w="28" w:type="dxa"/>
          <w:left w:w="28" w:type="dxa"/>
          <w:bottom w:w="28" w:type="dxa"/>
          <w:right w:w="28" w:type="dxa"/>
        </w:tblCellMar>
      </w:tblPr>
      <w:tblGrid>
        <w:gridCol w:w="2225"/>
        <w:gridCol w:w="1951"/>
        <w:gridCol w:w="1959"/>
        <w:gridCol w:w="198"/>
        <w:gridCol w:w="747"/>
        <w:gridCol w:w="109"/>
        <w:gridCol w:w="109"/>
        <w:gridCol w:w="109"/>
        <w:gridCol w:w="109"/>
        <w:gridCol w:w="198"/>
        <w:gridCol w:w="747"/>
        <w:gridCol w:w="154"/>
      </w:tblGrid>
      <w:tr>
        <w:trPr/>
        <w:tc>
          <w:tcPr>
            <w:tcW w:w="2225"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activities:</w:t>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w:t>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income to net cash provided by operating activities:</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and accretion of interest and fees, net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Originations of loans held-for-sale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(1,784,340)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(1,467,283)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sales of loans held-for-sale, net of gain on sale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1,814,410 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1,537,874 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Payoffs and paydowns of loans held-for-sale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servicing rights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(21,770)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(19,061)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capitalized mortgage servicing rights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Write-off of capitalized mortgage servicing rights from payoffs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loss sharing, net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 net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28,079 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Charge-offs and advances, net of reimbursements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benefit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equity affiliates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from operations of equity affiliates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debt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loss on real estate owned</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held-for-sale loans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Gain on derivative instruments, net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real estate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(28,734)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9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149,972 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210,597 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Investing Activities:</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Loans and investments funded, originated and purchased, net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(1,575,738)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(1,484,429)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Payoffs and paydowns of loans and investments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1,491,887 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962,014 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fees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to equity affiliates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from equity affiliates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Payoffs and paydowns of securities held-to-maturity</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 real estate, net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(27,925)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due to borrowers and reserves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(128,387)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(522,125)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activities:</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credit and repurchase facilities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5,672,204 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4,936,438 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Payoffs and paydowns of credit and repurchase facilities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(4,981,763)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(3,774,678)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securitized debt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818,344 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491,416 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Payoffs and paydowns of securitized debt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(1,312,080)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(1,599,961)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Payoffs and paydowns of senior unsecured notes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notes payable - REO</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Payoffs and paydowns of notes payable - REO</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(67,812)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30,801 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(51,583)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of operating partnership units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of withholding taxes on net settlement of vested stock</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stockholders and noncontrolling interest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(118,819)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(172,441)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deferred financing costs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(145,900)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(1,965)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 cash, cash equivalents and restricted cash</w:t>
            </w:r>
          </w:p>
        </w:tc>
        <w:tc>
          <w:tcPr>
            <w:tcW w:w="9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(124,315)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(313,493)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at beginning of period</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550,222 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660,179 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at end of period</w:t>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425,907 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346,686 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0" w:after="0"/>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ARBOR REALTY TRUST, INC.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CASH FLOWS (Unaudited)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tbl>
      <w:tblPr>
        <w:tblW w:w="7479" w:type="dxa"/>
        <w:jc w:val="left"/>
        <w:tblInd w:w="0" w:type="dxa"/>
        <w:tblLayout w:type="fixed"/>
        <w:tblCellMar>
          <w:top w:w="28" w:type="dxa"/>
          <w:left w:w="28" w:type="dxa"/>
          <w:bottom w:w="28" w:type="dxa"/>
          <w:right w:w="28" w:type="dxa"/>
        </w:tblCellMar>
      </w:tblPr>
      <w:tblGrid>
        <w:gridCol w:w="1821"/>
        <w:gridCol w:w="1598"/>
        <w:gridCol w:w="1606"/>
        <w:gridCol w:w="196"/>
        <w:gridCol w:w="736"/>
        <w:gridCol w:w="109"/>
        <w:gridCol w:w="109"/>
        <w:gridCol w:w="109"/>
        <w:gridCol w:w="109"/>
        <w:gridCol w:w="196"/>
        <w:gridCol w:w="736"/>
        <w:gridCol w:w="154"/>
      </w:tblGrid>
      <w:tr>
        <w:trPr/>
        <w:tc>
          <w:tcPr>
            <w:tcW w:w="1821"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of cash, cash equivalents and restricted cash:</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482,875 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503,803 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at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156,376 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550,222 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660,179 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end of period</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255,742 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at end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425,907 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346,686 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cash flow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to pay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325,903 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to pay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schedule of non-cash investing and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acquired in settlement of loans and investments,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355,954 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of loans and investments, net of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(376,059)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Derecognition of real estate owned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175,882 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 funded in conjunction with real estate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(183,955)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accrued on preferred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00" w:after="283"/>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 — Description of Business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Arbor Realty Trust, Inc. (“we,” “us,” “our,” or the "Company") is a Maryland corporation formed in 2003. We are a nationwide real estate investment trust (“REIT”) and direct lender, providing loan origination and servicing for commercial real estate assets. We operate through two business segments: our Structured Loan Origination and Investment Business, or “Structured Business,” and our Agency Loan Origination and Servicing Business, or “Agency Business.”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Through our Structured Business, we invest in a diversified portfolio of structured finance assets in the multifamily, single-family rental (“SFR”) and commercial real estate markets, primarily consisting of bridge loans, in addition to mezzanine loans, junior participating interests in first mortgages and preferred equity. We also invest in real estate-related joint ventures and may directly acquire real property and invest in real estate-related notes and certain mortgage-related securities.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Through our Agency Business, we originate, sell and service a range of multifamily finance products through the Federal National Mortgage Association (“Fannie Mae”) and the Federal Home Loan Mortgage Corporation (“Freddie Mac,” and together with Fannie Mae, the government-sponsored enterprises, or “GSEs,”) the Government National Mortgage Association (“Ginnie Mae,”) Federal Housing Authority (“FHA”) and the U.S. Department of Housing and Urban Development (together with Ginnie Mae and FHA, “HUD.”) We retain the servicing rights and asset management responsibilities on substantially all loans we originate and sell under the GSE and HUD programs. We are an approved Fannie Mae Delegated Underwriting and Servicing (“DUS”) lender nationally, a Freddie Mac Optigo® Conventional Loan and Small Balance Loan (“SBL”) lender, seller/servicer nationally and a HUD MAP and LEAN senior housing/healthcare lender nationally. We also originate and retain the servicing rights on permanent financing loans that are generally underwritten using the guidelines of our existing agency loans sold to the GSEs, which we refer to as “Private Label” loans, and originate and sell finance products through conduit/commercial mortgage-backed securities ("CMBS") programs. We either sell the Private Label loans instantaneously or pool and securitize them and sell certificates in the securitizations to third-party investors, while retaining the highest risk bottom tranche certificate of the securitization.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Substantially all of our operations are conducted through our operating partnership, Arbor Realty Limited Partnership (“ARLP”), for which we serve as the indirect general partner, and ARLP’s subsidiaries. We are organized to qualify as a REIT for U.S. federal income tax purposes. A REIT is generally not subject to federal income tax on its REIT-taxable income that is distributed to its stockholders; provided that at least 90% of its taxable income is distributed and provided that certain other requirements are met. Certain of our assets that produce non-qualifying REIT income, primarily within the Agency Business, are operated through taxable REIT subsidiaries (“TRS,”) which are part of our TRS consolidated group (the “TRS Consolidated Group”) and are subject to U.S. federal, state and local income taxes. In general, our TRS entities may hold assets that the REIT cannot hold directly and may engage in real estate or non-real estate-related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2 — Basis of Presentation and Significant Accounting Policies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have been prepared in accordance with accounting principles generally accepted in the United States (“GAAP”), for interim financial statements and the instructions to Form 10-Q. Accordingly, certain information and footnote disclosures normally included in the consolidated financial statements prepared under GAAP have been condensed or omitted. In our opinion, all adjustments considered necessary for a fair presentation of our financial position, results of operations and cash flows have been included and are of a normal and recurring nature. The operating results presented for interim periods are not necessarily indicative of the results that may be expected for any other interim period or for the entire year. These financial statements should be read in conjunction with our financial statements and notes thereto included in our 2025 Annual Report.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include our financial statements and the financial statements of our wholly owned subsidiaries, partnerships and other joint ventures in which we have a controlling interest, including VIEs of which we are the primary beneficiary. Entities in which we have a significant influence are accounted for under the equity method. Our VIEs are described in Note 15. All significant intercompany transactions and balances have been eliminated in consolidation.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consolidated financial statements in conformity with GAAP requires management to make estimates and assumptions that could materially affect the amounts reported in the consolidated financial statements and accompanying notes. Actual results could differ from those estimates. The uncertainty related to broader economic, market and industry conditions, such as the impact of inflation,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00" w:after="283"/>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interest rate environment, capital market conditions, property values, geopolitical events and tariff developments, both globally, and to our business, makes any estimate or assumption at June 30, 2026 inherently less certain.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See Item 8 – Financial Statements and Supplementary Data in our 2025 Annual Report for a description of our significant accounting policies. There have been no significant changes to our significant accounting policies since December 31, 2025.</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Reclassification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Certain prior period amounts have been reclassified to conform to the current period presentation. Amounts previously presented separately as due from related party and due to related party are now included within other assets and other liabilities, respectively. As of December 31, 2025, the reclassification increased other assets by $6.5 million and increased other liabilities by $0.5 million. The reclassification had no impact on total assets, total liabilities, shareholders' equity, net income (loss)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3 — Loans and Investments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Structured Business loan and investment portfolio consists of ($ in thousands):</w:t>
      </w:r>
    </w:p>
    <w:tbl>
      <w:tblPr>
        <w:tblW w:w="10205" w:type="dxa"/>
        <w:jc w:val="left"/>
        <w:tblInd w:w="0" w:type="dxa"/>
        <w:tblLayout w:type="fixed"/>
        <w:tblCellMar>
          <w:top w:w="28" w:type="dxa"/>
          <w:left w:w="28" w:type="dxa"/>
          <w:bottom w:w="28" w:type="dxa"/>
          <w:right w:w="28" w:type="dxa"/>
        </w:tblCellMar>
      </w:tblPr>
      <w:tblGrid>
        <w:gridCol w:w="702"/>
        <w:gridCol w:w="587"/>
        <w:gridCol w:w="462"/>
        <w:gridCol w:w="217"/>
        <w:gridCol w:w="1111"/>
        <w:gridCol w:w="111"/>
        <w:gridCol w:w="109"/>
        <w:gridCol w:w="109"/>
        <w:gridCol w:w="109"/>
        <w:gridCol w:w="245"/>
        <w:gridCol w:w="221"/>
        <w:gridCol w:w="410"/>
        <w:gridCol w:w="109"/>
        <w:gridCol w:w="109"/>
        <w:gridCol w:w="109"/>
        <w:gridCol w:w="185"/>
        <w:gridCol w:w="185"/>
        <w:gridCol w:w="186"/>
        <w:gridCol w:w="109"/>
        <w:gridCol w:w="109"/>
        <w:gridCol w:w="109"/>
        <w:gridCol w:w="255"/>
        <w:gridCol w:w="256"/>
        <w:gridCol w:w="392"/>
        <w:gridCol w:w="109"/>
        <w:gridCol w:w="109"/>
        <w:gridCol w:w="109"/>
        <w:gridCol w:w="312"/>
        <w:gridCol w:w="312"/>
        <w:gridCol w:w="314"/>
        <w:gridCol w:w="109"/>
        <w:gridCol w:w="109"/>
        <w:gridCol w:w="109"/>
        <w:gridCol w:w="241"/>
        <w:gridCol w:w="177"/>
        <w:gridCol w:w="444"/>
        <w:gridCol w:w="109"/>
        <w:gridCol w:w="109"/>
        <w:gridCol w:w="109"/>
        <w:gridCol w:w="237"/>
        <w:gridCol w:w="171"/>
        <w:gridCol w:w="510"/>
      </w:tblGrid>
      <w:tr>
        <w:trPr/>
        <w:tc>
          <w:tcPr>
            <w:tcW w:w="70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1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 of</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Loan</w:t>
              <w:br/>
              <w:t>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Wtd. Avg.</w:t>
              <w:br/>
              <w:t>Pay Rate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Wtd. Avg.</w:t>
              <w:br/>
              <w:t>Remaining</w:t>
              <w:br/>
              <w:t>Months to</w:t>
              <w:br/>
              <w:t>Maturity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Wtd. Avg.</w:t>
              <w:br/>
              <w:t>First Dollar</w:t>
              <w:br/>
              <w:t>LTV Ratio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Wtd. Avg.</w:t>
              <w:br/>
              <w:t>Last Dollar</w:t>
              <w:br/>
              <w:t>LTV Ratio (4)</w:t>
            </w:r>
          </w:p>
        </w:tc>
      </w:tr>
      <w:tr>
        <w:trPr/>
        <w:tc>
          <w:tcPr>
            <w:tcW w:w="1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Bridge loans (5)</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11,318,551 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4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5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Mezzanine loans</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300,880 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3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4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5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 multifamily</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285,482 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3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equity investments</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202,118 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3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4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5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1"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r>
      <w:tr>
        <w:trPr/>
        <w:tc>
          <w:tcPr>
            <w:tcW w:w="1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UPB</w:t>
            </w:r>
          </w:p>
        </w:tc>
        <w:tc>
          <w:tcPr>
            <w:tcW w:w="13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12,107,031 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5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(163,431)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(28,384)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and investments, net (6)</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11,915,216 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Bridge loans (5)</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11,371,758 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4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5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Mezzanine loans</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290,212 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3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4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5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 multifamily</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249,019 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3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5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equity investments</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202,118 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3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5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1"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r>
      <w:tr>
        <w:trPr/>
        <w:tc>
          <w:tcPr>
            <w:tcW w:w="1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UPB</w:t>
            </w:r>
          </w:p>
        </w:tc>
        <w:tc>
          <w:tcPr>
            <w:tcW w:w="13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12,113,107 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5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(145,971)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(32,888)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and investments, net (6)</w:t>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11,934,248 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120" w:after="283"/>
        <w:ind w:left="0" w:right="0" w:hanging="360"/>
        <w:jc w:val="left"/>
        <w:rPr/>
      </w:pPr>
      <w:r>
        <w:rPr>
          <w:rFonts w:ascii="Times New Roman;serif" w:hAnsi="Times New Roman;serif"/>
          <w:b w:val="false"/>
          <w:color w:val="000000"/>
          <w:sz w:val="20"/>
        </w:rPr>
        <w:t>(1)</w:t>
      </w:r>
      <w:r>
        <w:rPr>
          <w:color w:val="000000"/>
        </w:rPr>
        <w:t>“</w:t>
      </w:r>
      <w:r>
        <w:rPr>
          <w:rFonts w:ascii="Times New Roman;serif" w:hAnsi="Times New Roman;serif"/>
          <w:b w:val="false"/>
          <w:color w:val="000000"/>
          <w:sz w:val="20"/>
        </w:rPr>
        <w:t>Weighted Average Pay Rate” is a weighted average, based on the unpaid principal balance (“UPB”) of each loan in our portfolio, of the interest rate required to be paid as stated in the individual loan agreements. Certain loans and investments that require an accrual rate to be paid at maturity are not included in the weighted average pay rate as shown in the table.</w:t>
      </w:r>
    </w:p>
    <w:p>
      <w:pPr>
        <w:pStyle w:val="TextBody"/>
        <w:bidi w:val="0"/>
        <w:spacing w:lineRule="auto" w:line="288" w:before="120" w:after="283"/>
        <w:ind w:left="0" w:right="0" w:hanging="360"/>
        <w:jc w:val="left"/>
        <w:rPr/>
      </w:pPr>
      <w:r>
        <w:rPr>
          <w:rFonts w:ascii="Times New Roman;serif" w:hAnsi="Times New Roman;serif"/>
          <w:b w:val="false"/>
          <w:color w:val="000000"/>
          <w:sz w:val="20"/>
        </w:rPr>
        <w:t xml:space="preserve">(2)Including extension options, the weighted average remaining months to maturity at June 30, 2026 and December 31, 2025 was 21.5 and </w:t>
      </w:r>
      <w:r>
        <w:rPr>
          <w:rFonts w:ascii="Times New Roman;serif" w:hAnsi="Times New Roman;serif"/>
          <w:b w:val="false"/>
          <w:color w:val="000000"/>
          <w:sz w:val="20"/>
          <w:shd w:fill="FFFFFF" w:val="clear"/>
        </w:rPr>
        <w:t>19.9,</w:t>
      </w:r>
      <w:r>
        <w:rPr>
          <w:color w:val="000000"/>
        </w:rPr>
        <w:t xml:space="preserve"> </w:t>
      </w:r>
      <w:r>
        <w:rPr>
          <w:rFonts w:ascii="Times New Roman;serif" w:hAnsi="Times New Roman;serif"/>
          <w:b w:val="false"/>
          <w:color w:val="000000"/>
          <w:sz w:val="20"/>
        </w:rPr>
        <w:t>respectively.</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“First Dollar Loan-to-Value (“LTV”) Ratio” is calculated by comparing the total of all senior lien positions ahead of our loan or investment within the capital stack to the fair value of the underlying collateral to determine the point at which we will absorb a total loss of our position. If we own the senior most position within the capital stack, the First Dollar LTV Ratio is 0%.</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“Last Dollar LTV Ratio” is calculated by comparing the total of the carrying value of our loan or investment and all senior lien positions ahead of our loan or investment within the capital stack to the fair value of the underlying collateral to determine the point at which we will initially begin to absorb a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00" w:after="283"/>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(5)At June 30, 2026 and December 31, 2025, bridge loans included 176 and 298, respectively, of SFR loans with a total gross loan commitment of $4.53 billion and $4.73 billion, respectively, of which $3.38 billion and $3.18 billion, respectively, was funded.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(6)Excludes exit fee receivables of $41.5 million and $43.0 million at June 30, 2026 and December 31, 2025, respectively, which is included in other assets on the consolidated balance sheets.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are subject to concentration risk in that, at June 30, 2026, the UPB related to 33 loans with five different borrowers represented 8% of total assets. At December 31, 2025, the UPB related to 65 loans with five different borrowers represented 9% of total assets. During both the three and six months ended June 30, 2026 and the year ended December 31, 2025, no single loan or investment represented more than 10% of our total assets and no single investor group generated over 10% of our revenue. See Note 18 for details on our concentration of related party loans and investments.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assign a credit risk rating of pass, pass/watch, special mention, substandard or doubtful to each loan and investment, with a pass rating being the lowest risk and a doubtful rating being the highest risk. Each credit risk rating has benchmark guidelines that pertain to debt-service coverage ratios, LTV ratios, borrower strength, asset quality, payment status in accordance with current contractual terms, and funded cash reserves. Other factors such as guarantees and other forms of recourse, market strength, remaining loan term and borrower equity are also reviewed and considered in determining the credit risk rating assigned to each loan. This metric provides a helpful snapshot of portfolio quality and credit risk. All portfolio assets are subject to, at a minimum, a thorough quarterly financial evaluation in which historical operating performance and forward-looking projections are reviewed; however, we maintain a higher level of scrutiny and focus on loans that we consider “high risk” and that possess deteriorating credit quality.</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Generally speaking, given our typical loan profile, risk ratings of pass and pass/watch suggest the loan is performing and that we expect the borrower to make both principal and interest payments according to the contractual terms of the current loan agreement. A risk rating of special mention indicates loans that require closer monitoring given an observed credit weakness or may have been modified, but we currently expect the borrower to make both principal and interest payments according to the terms of the current loan agreement or we expect to fully recover our investment, including accrued interest, through the current value of the collateral and/or the financial strength of the guarantors. A risk rating of substandard indicates we have observed weaknesses or significant deterioration in multiple credit quality factors, we expect the loan to underperform in the near term, and we anticipate the loan will require intervention in the form of a modification or potential foreclosure to avoid or limit a loss of interest and/or principal. A risk rating of doubtful indicates a loss of interest and/or principal is probable and we are actively exploring options to protect our investment including foreclosing on the underlying collateral. Further, while the above are the primary guidelines used in determining a certain risk rating, subjective items such as the financial strength of guarantors, market strength, asset quality, or a borrower's ability to perform under modified loan terms may result in a rating that is higher or lower than might be indicated by any risk rating matrix.</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200" w:after="283"/>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loan portfolio’s internal risk ratings and LTV ratios by asset class at June 30, 2026, and charge-offs recorded for the six months ended June 30, 2026 is as follows ($ in thousands):</w:t>
      </w:r>
    </w:p>
    <w:tbl>
      <w:tblPr>
        <w:tblW w:w="13636" w:type="dxa"/>
        <w:jc w:val="left"/>
        <w:tblInd w:w="0" w:type="dxa"/>
        <w:tblLayout w:type="fixed"/>
        <w:tblCellMar>
          <w:top w:w="28" w:type="dxa"/>
          <w:left w:w="28" w:type="dxa"/>
          <w:bottom w:w="28" w:type="dxa"/>
          <w:right w:w="28" w:type="dxa"/>
        </w:tblCellMar>
      </w:tblPr>
      <w:tblGrid>
        <w:gridCol w:w="689"/>
        <w:gridCol w:w="210"/>
        <w:gridCol w:w="197"/>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09"/>
        <w:gridCol w:w="109"/>
        <w:gridCol w:w="109"/>
        <w:gridCol w:w="109"/>
        <w:gridCol w:w="196"/>
        <w:gridCol w:w="961"/>
        <w:gridCol w:w="241"/>
        <w:gridCol w:w="109"/>
        <w:gridCol w:w="109"/>
        <w:gridCol w:w="109"/>
        <w:gridCol w:w="135"/>
        <w:gridCol w:w="135"/>
        <w:gridCol w:w="301"/>
        <w:gridCol w:w="109"/>
        <w:gridCol w:w="109"/>
        <w:gridCol w:w="109"/>
        <w:gridCol w:w="211"/>
        <w:gridCol w:w="210"/>
        <w:gridCol w:w="286"/>
      </w:tblGrid>
      <w:tr>
        <w:trPr/>
        <w:tc>
          <w:tcPr>
            <w:tcW w:w="68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UPB by Origination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Wtd. Avg.</w:t>
              <w:br/>
              <w:t>First Dollar</w:t>
              <w:br/>
              <w:t xml:space="preserve">LTV Ratio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vMerge w:val="restart"/>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Wtd. Avg.</w:t>
              <w:br/>
              <w:t>Last Dollar</w:t>
              <w:br/>
              <w:t xml:space="preserve">LTV Ratio </w:t>
            </w:r>
          </w:p>
        </w:tc>
      </w:tr>
      <w:tr>
        <w:trPr/>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 Class / Risk 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574,805 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443,399 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1,340,245 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Pass/Watch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269,500 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1,139,077 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540,818 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723,660 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2,996,089 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464,750 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206,869 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1,086,717 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1,607,844 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3,389,750 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388,659 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587,311 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359,651 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844,305 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2,048,676 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523,865 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130,587 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2,274,686 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2,850,927 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8,673,046 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Single-Family Rental: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Percentage of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Pass/Watch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342,645 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1,023,989 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1,004,907 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456,066 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287,836 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3,156,549 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195,586 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Single-Family Rental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342,645 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1,076,239 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1,025,163 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586,471 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307,511 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41,106 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3,379,135 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Percentage of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Pass/Watch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33,410 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33,410 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33,410 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Percentage of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&lt;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16,424 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16,955 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16,955 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Percentage of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&lt;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Pass/Watch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2,785 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2,785 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Percentage of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&lt;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Percentage of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16"/>
              </w:rPr>
              <w:t>&lt;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Grand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1,186,950 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3,124,915 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1,549,028 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717,058 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2,582,197 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2,946,883 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12,107,031 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25,589 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200" w:after="283"/>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loan portfolio’s internal risk ratings and LTV ratios by asset class at December 31, 2025, and charge-offs recorded during 2025 is as follows ($ in thousands):</w:t>
      </w:r>
    </w:p>
    <w:tbl>
      <w:tblPr>
        <w:tblW w:w="13779" w:type="dxa"/>
        <w:jc w:val="left"/>
        <w:tblInd w:w="0" w:type="dxa"/>
        <w:tblLayout w:type="fixed"/>
        <w:tblCellMar>
          <w:top w:w="28" w:type="dxa"/>
          <w:left w:w="28" w:type="dxa"/>
          <w:bottom w:w="28" w:type="dxa"/>
          <w:right w:w="28" w:type="dxa"/>
        </w:tblCellMar>
      </w:tblPr>
      <w:tblGrid>
        <w:gridCol w:w="689"/>
        <w:gridCol w:w="210"/>
        <w:gridCol w:w="197"/>
        <w:gridCol w:w="109"/>
        <w:gridCol w:w="109"/>
        <w:gridCol w:w="109"/>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96"/>
        <w:gridCol w:w="961"/>
        <w:gridCol w:w="241"/>
        <w:gridCol w:w="109"/>
        <w:gridCol w:w="109"/>
        <w:gridCol w:w="109"/>
        <w:gridCol w:w="135"/>
        <w:gridCol w:w="135"/>
        <w:gridCol w:w="301"/>
        <w:gridCol w:w="109"/>
        <w:gridCol w:w="109"/>
        <w:gridCol w:w="109"/>
        <w:gridCol w:w="220"/>
        <w:gridCol w:w="201"/>
        <w:gridCol w:w="301"/>
        <w:gridCol w:w="109"/>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UPB by Origination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Wtd. Avg.</w:t>
              <w:br/>
              <w:t>First Dollar</w:t>
              <w:br/>
              <w:t xml:space="preserve">LTV Ratio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Wtd. Avg.</w:t>
              <w:br/>
              <w:t>Last Dollar</w:t>
              <w:br/>
              <w:t xml:space="preserve">LTV Ratio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 Class / Risk 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556,801 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738,020 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Pass/Watch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1,195,412 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429,300 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376,064 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526,961 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2,795,823 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211,404 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1,788,580 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2,028,742 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4,445,277 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297,729 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307,350 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678,427 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216,294 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1,968,607 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760,535 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336,717 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2,625,648 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2,926,722 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255,612 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8,873,841 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Single-Family Rental: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3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Percentage of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98,510 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Pass/Watch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859,819 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1,006,016 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571,891 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448,769 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2,992,627 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93,773 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Single-Family Rental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994,559 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1,006,016 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571,891 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501,712 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71,916 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38,816 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3,184,910 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3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Percentage of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Pass/Watch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33,410 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33,410 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33,410 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3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Percentage of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&lt;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16,424 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16,955 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16,955 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3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Percentage of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&lt;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Pass/Watch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2,291 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2,291 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2,291 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3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Percentage of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&lt;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3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Percentage of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&lt;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Grand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2,963,166 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1,766,551 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908,608 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3,127,360 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2,998,638 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348,784 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12,113,107 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Charge-offs,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24,476 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31,968 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68,893 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128,337 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Geographic Concentration Risk</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At June 30, 2026, underlying properties in Texas and Florida represented 23% and 18%, respectively, and at December 31, 2025, underlying properties in Texas and Florida represented 23% and 17%, respectively, of the outstanding balance of our loan and investment portfolio. No other states represented 10% or more of the total loan and investment portfolio.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200" w:after="283"/>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Allowance for Credit Losses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summary of the changes in the allowance for credit losses is as follows ($ in thousands): </w:t>
      </w:r>
    </w:p>
    <w:tbl>
      <w:tblPr>
        <w:tblW w:w="10205" w:type="dxa"/>
        <w:jc w:val="left"/>
        <w:tblInd w:w="0" w:type="dxa"/>
        <w:tblLayout w:type="fixed"/>
        <w:tblCellMar>
          <w:top w:w="28" w:type="dxa"/>
          <w:left w:w="28" w:type="dxa"/>
          <w:bottom w:w="28" w:type="dxa"/>
          <w:right w:w="28" w:type="dxa"/>
        </w:tblCellMar>
      </w:tblPr>
      <w:tblGrid>
        <w:gridCol w:w="462"/>
        <w:gridCol w:w="332"/>
        <w:gridCol w:w="334"/>
        <w:gridCol w:w="196"/>
        <w:gridCol w:w="736"/>
        <w:gridCol w:w="109"/>
        <w:gridCol w:w="109"/>
        <w:gridCol w:w="109"/>
        <w:gridCol w:w="109"/>
        <w:gridCol w:w="271"/>
        <w:gridCol w:w="770"/>
        <w:gridCol w:w="151"/>
        <w:gridCol w:w="109"/>
        <w:gridCol w:w="109"/>
        <w:gridCol w:w="109"/>
        <w:gridCol w:w="196"/>
        <w:gridCol w:w="556"/>
        <w:gridCol w:w="109"/>
        <w:gridCol w:w="109"/>
        <w:gridCol w:w="109"/>
        <w:gridCol w:w="109"/>
        <w:gridCol w:w="235"/>
        <w:gridCol w:w="669"/>
        <w:gridCol w:w="132"/>
        <w:gridCol w:w="109"/>
        <w:gridCol w:w="109"/>
        <w:gridCol w:w="109"/>
        <w:gridCol w:w="196"/>
        <w:gridCol w:w="421"/>
        <w:gridCol w:w="109"/>
        <w:gridCol w:w="109"/>
        <w:gridCol w:w="109"/>
        <w:gridCol w:w="109"/>
        <w:gridCol w:w="196"/>
        <w:gridCol w:w="646"/>
        <w:gridCol w:w="109"/>
        <w:gridCol w:w="109"/>
        <w:gridCol w:w="109"/>
        <w:gridCol w:w="109"/>
        <w:gridCol w:w="109"/>
        <w:gridCol w:w="109"/>
        <w:gridCol w:w="196"/>
        <w:gridCol w:w="736"/>
        <w:gridCol w:w="158"/>
      </w:tblGrid>
      <w:tr>
        <w:trPr/>
        <w:tc>
          <w:tcPr>
            <w:tcW w:w="46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8" w:type="dxa"/>
            <w:gridSpan w:val="3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1199" w:type="dxa"/>
            <w:gridSpan w:val="4"/>
            <w:tcBorders/>
          </w:tcPr>
          <w:p>
            <w:pPr>
              <w:pStyle w:val="TableContents"/>
              <w:bidi w:val="0"/>
              <w:spacing w:before="0" w:after="283"/>
              <w:jc w:val="left"/>
              <w:rPr>
                <w:sz w:val="4"/>
                <w:szCs w:val="4"/>
              </w:rPr>
            </w:pPr>
            <w:r>
              <w:rPr>
                <w:sz w:val="4"/>
                <w:szCs w:val="4"/>
              </w:rPr>
            </w:r>
          </w:p>
        </w:tc>
      </w:tr>
      <w:tr>
        <w:trPr/>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Multifamily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Single-Family Rental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Retail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Office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Land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1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7,910 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131,223 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 (net of reversals)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39,589 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1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Charge-offs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(7,381)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149,024 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9,535 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163,431 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8" w:type="dxa"/>
            <w:gridSpan w:val="3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1199" w:type="dxa"/>
            <w:gridSpan w:val="4"/>
            <w:tcBorders/>
          </w:tcPr>
          <w:p>
            <w:pPr>
              <w:pStyle w:val="TableContents"/>
              <w:bidi w:val="0"/>
              <w:spacing w:before="0" w:after="283"/>
              <w:jc w:val="left"/>
              <w:rPr>
                <w:sz w:val="4"/>
                <w:szCs w:val="4"/>
              </w:rPr>
            </w:pPr>
            <w:r>
              <w:rPr>
                <w:sz w:val="4"/>
                <w:szCs w:val="4"/>
              </w:rPr>
            </w:r>
          </w:p>
        </w:tc>
      </w:tr>
      <w:tr>
        <w:trPr/>
        <w:tc>
          <w:tcPr>
            <w:tcW w:w="11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6,524 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240,937 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 (net of reversals)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17,484 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1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Charge-offs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(15,143)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152,320 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7,312 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78,190 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243,278 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8" w:type="dxa"/>
            <w:gridSpan w:val="3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c>
          <w:tcPr>
            <w:tcW w:w="1199" w:type="dxa"/>
            <w:gridSpan w:val="4"/>
            <w:tcBorders/>
          </w:tcPr>
          <w:p>
            <w:pPr>
              <w:pStyle w:val="TableContents"/>
              <w:bidi w:val="0"/>
              <w:spacing w:before="0" w:after="283"/>
              <w:jc w:val="left"/>
              <w:rPr>
                <w:sz w:val="4"/>
                <w:szCs w:val="4"/>
              </w:rPr>
            </w:pPr>
            <w:r>
              <w:rPr>
                <w:sz w:val="4"/>
                <w:szCs w:val="4"/>
              </w:rPr>
            </w:r>
          </w:p>
        </w:tc>
      </w:tr>
      <w:tr>
        <w:trPr/>
        <w:tc>
          <w:tcPr>
            <w:tcW w:w="11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8,817 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145,971 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 (net of reversals)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43,049 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1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Charge-offs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(25,589)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149,024 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9,535 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163,431 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8" w:type="dxa"/>
            <w:gridSpan w:val="3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c>
          <w:tcPr>
            <w:tcW w:w="1199" w:type="dxa"/>
            <w:gridSpan w:val="4"/>
            <w:tcBorders/>
          </w:tcPr>
          <w:p>
            <w:pPr>
              <w:pStyle w:val="TableContents"/>
              <w:bidi w:val="0"/>
              <w:spacing w:before="0" w:after="283"/>
              <w:jc w:val="left"/>
              <w:rPr>
                <w:sz w:val="4"/>
                <w:szCs w:val="4"/>
              </w:rPr>
            </w:pPr>
            <w:r>
              <w:rPr>
                <w:sz w:val="4"/>
                <w:szCs w:val="4"/>
              </w:rPr>
            </w:r>
          </w:p>
        </w:tc>
      </w:tr>
      <w:tr>
        <w:trPr/>
        <w:tc>
          <w:tcPr>
            <w:tcW w:w="11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7,524 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238,967 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 (net of reversals)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23,454 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Recoveries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Charge-offs (1)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(18,737)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152,320 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7,312 </w:t>
            </w:r>
          </w:p>
        </w:tc>
        <w:tc>
          <w:tcPr>
            <w:tcW w:w="1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3,293 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78,190 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243,278 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(1)Includes specific reserves that were charged-off in connection with the foreclosure of the underlying collateral as real estate owned ("REO") assets at fair value of $6.0 million during both the three and six months ended June 30, 2026, and $4.4 million and $8.4 million during the three and six months ended June 30, 2025, respectively.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provision for credit losses during the three and six months ended June 30, 2026 was primarily attributable to specifically impaired multifamily loans and a softer macroeconomic outlook of the commercial real estate market. Our estimate of allowance for credit losses on our structured portfolio, including related unfunded loan commitments, was based on a reasonable and supportable forecast period that reflects recent observable data, including price indices for commercial real estate, unemployment rates, and interest rates.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expected credit losses over the contractual period of our loans also include the obligation to extend credit through our unfunded loan commitments. Estimates of current expected credit losses (“CECL”) for unfunded loan commitments are adjusted quarterly and correspond with the associated outstanding loans. At June 30, 2026 and December 31, 2025, we had outstanding unfunded commitments of $1.53 billion and $1.92 billion, respectively, that we are obligated to fund as borrowers meet certain requirements. The outstanding unfunded commitments are predominantly related to our SFR build-to-rent ("BTR")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200" w:after="283"/>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2026 and December 31, 2025, accrued interest receivable related to our loans totaling $156.4 million and $165.7 million, respectively, was excluded from the estimate of credit losses, is subject to our revenue recognition policy, and is included in other assets on the consolidated balance sheets.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 of our structured loans and investments are secured by real estate assets or by interests in real estate assets, and, as such, the measurement of credit losses may be based on the difference between the fair value of the underlying collateral and the carrying value of the assets as of the period end. A summary of our specific reserve loans considered impaired by asset class is as follows ($ in thousands): </w:t>
      </w:r>
    </w:p>
    <w:tbl>
      <w:tblPr>
        <w:tblW w:w="8997" w:type="dxa"/>
        <w:jc w:val="left"/>
        <w:tblInd w:w="0" w:type="dxa"/>
        <w:tblLayout w:type="fixed"/>
        <w:tblCellMar>
          <w:top w:w="28" w:type="dxa"/>
          <w:left w:w="28" w:type="dxa"/>
          <w:bottom w:w="28" w:type="dxa"/>
          <w:right w:w="28" w:type="dxa"/>
        </w:tblCellMar>
      </w:tblPr>
      <w:tblGrid>
        <w:gridCol w:w="400"/>
        <w:gridCol w:w="353"/>
        <w:gridCol w:w="358"/>
        <w:gridCol w:w="109"/>
        <w:gridCol w:w="109"/>
        <w:gridCol w:w="109"/>
        <w:gridCol w:w="211"/>
        <w:gridCol w:w="826"/>
        <w:gridCol w:w="109"/>
        <w:gridCol w:w="109"/>
        <w:gridCol w:w="109"/>
        <w:gridCol w:w="109"/>
        <w:gridCol w:w="211"/>
        <w:gridCol w:w="826"/>
        <w:gridCol w:w="109"/>
        <w:gridCol w:w="109"/>
        <w:gridCol w:w="109"/>
        <w:gridCol w:w="109"/>
        <w:gridCol w:w="228"/>
        <w:gridCol w:w="779"/>
        <w:gridCol w:w="117"/>
        <w:gridCol w:w="109"/>
        <w:gridCol w:w="109"/>
        <w:gridCol w:w="109"/>
        <w:gridCol w:w="310"/>
        <w:gridCol w:w="310"/>
        <w:gridCol w:w="775"/>
        <w:gridCol w:w="109"/>
        <w:gridCol w:w="109"/>
        <w:gridCol w:w="109"/>
        <w:gridCol w:w="292"/>
        <w:gridCol w:w="292"/>
        <w:gridCol w:w="856"/>
      </w:tblGrid>
      <w:tr>
        <w:trPr/>
        <w:tc>
          <w:tcPr>
            <w:tcW w:w="40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UPB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Allowance for</w:t>
              <w:br/>
              <w:t>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Wtd. Avg. First</w:t>
              <w:br/>
              <w:t>Dollar LTV Ratio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Wtd. Avg. Last</w:t>
              <w:br/>
              <w:t>Dollar LTV Ratio</w:t>
            </w:r>
          </w:p>
        </w:tc>
      </w:tr>
      <w:tr>
        <w:trPr/>
        <w:tc>
          <w:tcPr>
            <w:tcW w:w="11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422,144 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427,118 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41,937 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440,799 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445,729 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46,540 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7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366,275 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363,635 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38,487 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384,930 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382,190 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43,090 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7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(1)Represents the UPB of 19 and 20 impaired loans (less unearned revenue and other holdbacks and adjustments) by asset class at June 30, 2026 and December 31, 2025, respectively.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Non-performing Loans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Loans are generally classified as non-performing once the contractual payments exceed 60 days past due, unless past due payments due to us are in the process of being collected or otherwise reasonably certain to be received in the immediate future. Income from non-performing loans is generally recognized on a cash basis when it is received. Full income recognition will resume when the loan becomes contractually current, and performance has recommenced. At June 30, 2026, 19 loans with an aggregate net carrying value of $396.4 million, net of related loan loss reserves of $31.1 million, were classified as non-performing and, at December 31, 2025, 26 loans with an aggregate net carrying value of $545.0 million, net of related loan loss reserves of $10.2 million, were classified as non-performing.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 summary of our non-performing loans by asset class is as follows ($ in thousands):</w:t>
      </w:r>
    </w:p>
    <w:tbl>
      <w:tblPr>
        <w:tblW w:w="6918" w:type="dxa"/>
        <w:jc w:val="left"/>
        <w:tblInd w:w="0" w:type="dxa"/>
        <w:tblLayout w:type="fixed"/>
        <w:tblCellMar>
          <w:top w:w="28" w:type="dxa"/>
          <w:left w:w="28" w:type="dxa"/>
          <w:bottom w:w="28" w:type="dxa"/>
          <w:right w:w="28" w:type="dxa"/>
        </w:tblCellMar>
      </w:tblPr>
      <w:tblGrid>
        <w:gridCol w:w="402"/>
        <w:gridCol w:w="354"/>
        <w:gridCol w:w="355"/>
        <w:gridCol w:w="211"/>
        <w:gridCol w:w="826"/>
        <w:gridCol w:w="109"/>
        <w:gridCol w:w="109"/>
        <w:gridCol w:w="109"/>
        <w:gridCol w:w="109"/>
        <w:gridCol w:w="229"/>
        <w:gridCol w:w="898"/>
        <w:gridCol w:w="118"/>
        <w:gridCol w:w="109"/>
        <w:gridCol w:w="109"/>
        <w:gridCol w:w="109"/>
        <w:gridCol w:w="211"/>
        <w:gridCol w:w="826"/>
        <w:gridCol w:w="109"/>
        <w:gridCol w:w="109"/>
        <w:gridCol w:w="109"/>
        <w:gridCol w:w="109"/>
        <w:gridCol w:w="228"/>
        <w:gridCol w:w="895"/>
        <w:gridCol w:w="166"/>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UPB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UPB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426,614 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425,272 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566,906 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553,016 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428,845 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427,503 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569,137 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555,247 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20"/>
        </w:rPr>
        <w:t>At June 30, 2026 and December 31, 2025, we had loans with a UPB of $91.2 million</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$237.0 million, respectively, and accrued interest of $1.9 million and</w:t>
      </w:r>
      <w:r>
        <w:rPr>
          <w:color w:val="000000"/>
        </w:rPr>
        <w:t xml:space="preserve"> </w:t>
      </w:r>
      <w:r>
        <w:rPr>
          <w:rFonts w:ascii="Times New Roman;serif" w:hAnsi="Times New Roman;serif"/>
          <w:b w:val="false"/>
          <w:color w:val="000000"/>
          <w:sz w:val="20"/>
        </w:rPr>
        <w:t>$6.6 million, respectively, that were greater than 60 days past due and classified as performing loans. All past due payments on these loans have been subsequently collected, except for a loan that was greater than 60 days past due at June 30, 2026 with a UPB of $58.6 million and accrued interest of $1.6 million. We are currently in the process of modifying that loan and expect to collect the accrued interest in August 2026.</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Other Non-accrual Loans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this challenging economic environment, we have been experiencing late and partial payments on certain loans in our structured portfolio. Therefore, for loans that are 60 days past due or less, if we have determined there is reasonable doubt about collectability of all principal and interest, we classify those loans as non-accrual and recognize interest income only when cash is received. The table below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200" w:after="283"/>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 summary of those loans that are 60 days past due or less that we have classified as non-accrual, and changes to those loans for the periods presented ($ in thousands).</w:t>
      </w:r>
    </w:p>
    <w:tbl>
      <w:tblPr>
        <w:tblW w:w="10205" w:type="dxa"/>
        <w:jc w:val="left"/>
        <w:tblInd w:w="0" w:type="dxa"/>
        <w:tblLayout w:type="fixed"/>
        <w:tblCellMar>
          <w:top w:w="28" w:type="dxa"/>
          <w:left w:w="28" w:type="dxa"/>
          <w:bottom w:w="28" w:type="dxa"/>
          <w:right w:w="28" w:type="dxa"/>
        </w:tblCellMar>
      </w:tblPr>
      <w:tblGrid>
        <w:gridCol w:w="1537"/>
        <w:gridCol w:w="1352"/>
        <w:gridCol w:w="1359"/>
        <w:gridCol w:w="109"/>
        <w:gridCol w:w="109"/>
        <w:gridCol w:w="109"/>
        <w:gridCol w:w="501"/>
        <w:gridCol w:w="1965"/>
        <w:gridCol w:w="259"/>
        <w:gridCol w:w="109"/>
        <w:gridCol w:w="109"/>
        <w:gridCol w:w="109"/>
        <w:gridCol w:w="455"/>
        <w:gridCol w:w="1787"/>
        <w:gridCol w:w="336"/>
      </w:tblGrid>
      <w:tr>
        <w:trPr/>
        <w:tc>
          <w:tcPr>
            <w:tcW w:w="1537"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4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42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Beginning balance (0 and 3 multifamily bridge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48,311 </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that progressed to greater than 60 days past due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(1,221)</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Loans modified or paid off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(47,090)</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8" w:type="dxa"/>
            <w:gridSpan w:val="3"/>
            <w:tcBorders/>
            <w:vAlign w:val="center"/>
          </w:tcPr>
          <w:p>
            <w:pPr>
              <w:pStyle w:val="TableContents"/>
              <w:bidi w:val="0"/>
              <w:spacing w:before="0" w:after="283"/>
              <w:jc w:val="left"/>
              <w:rPr>
                <w:sz w:val="4"/>
                <w:szCs w:val="4"/>
              </w:rPr>
            </w:pPr>
            <w:r>
              <w:rPr>
                <w:sz w:val="4"/>
                <w:szCs w:val="4"/>
              </w:rPr>
            </w:r>
          </w:p>
        </w:tc>
      </w:tr>
      <w:tr>
        <w:trPr/>
        <w:tc>
          <w:tcPr>
            <w:tcW w:w="42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loans classified as non-accrual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94,920 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94,920 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Ending balance (3 multifamily bridge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94,920 </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94,920 </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42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Beginning balance (5 and 9 multifamily bridge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142,823 </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167,428 </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that progressed to greater than 60 days past due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(82,290)</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modified or paid off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(47,675)</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(86,165)</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transferred to REO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(48,500)</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(48,500)</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loans classified as non-accrual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10,264 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106,439 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Ending balance (3 multifamily bridge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56,912 </w:t>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56,912 </w:t>
            </w:r>
          </w:p>
        </w:tc>
        <w:tc>
          <w:tcPr>
            <w:tcW w:w="3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recorded interest income on non-performing and other non-accrual loans of $1.3 million and $8.0 million during the three and six months ended June 30, 2026, respectively, and $4.1 million and $9.9 million during the three and six months ended June 30, 2025, respectively.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Loan Modifications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may agree to amend or modify loans to certain borrowers experiencing financial difficulty based on specific facts and circumstances in order to improve long-term collectability efforts and avoid foreclosure and repossession of the underlying collateral. The loan modifications to borrowers experiencing financial difficulty may include a delay in payments, including payment deferrals, term extensions, principal forgiveness, interest rate reductions, or a combination thereof. We record interest on modified loans on an accrual basis to the extent the modified loan is contractually current and we believe it is ultimately collectible. The allowance for credit losses on loan modifications is measured using the same method as all other loans held for investment.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part of the modifications of each of these loans, we generally expect borrowers to invest additional capital to recapitalize their projects, which the vast majority have funded in the form of either, or a combination of: (1) reallocation of and/or additional deposits into interest, renovation and/or general reserves; (2) the purchase of a new rate cap; (3) a principal paydown of the loan; and (4) bringing any delinquent loans current by paying past due interest owed.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the UPB of loan modifications, as of the modification date, made to borrowers experiencing financial difficulty during the three months ended June 30, 2026 ($ in thousands):</w:t>
      </w:r>
    </w:p>
    <w:tbl>
      <w:tblPr>
        <w:tblW w:w="10205" w:type="dxa"/>
        <w:jc w:val="left"/>
        <w:tblInd w:w="0" w:type="dxa"/>
        <w:tblLayout w:type="fixed"/>
        <w:tblCellMar>
          <w:top w:w="28" w:type="dxa"/>
          <w:left w:w="28" w:type="dxa"/>
          <w:bottom w:w="28" w:type="dxa"/>
          <w:right w:w="28" w:type="dxa"/>
        </w:tblCellMar>
      </w:tblPr>
      <w:tblGrid>
        <w:gridCol w:w="400"/>
        <w:gridCol w:w="353"/>
        <w:gridCol w:w="358"/>
        <w:gridCol w:w="109"/>
        <w:gridCol w:w="109"/>
        <w:gridCol w:w="109"/>
        <w:gridCol w:w="558"/>
        <w:gridCol w:w="1907"/>
        <w:gridCol w:w="288"/>
        <w:gridCol w:w="109"/>
        <w:gridCol w:w="109"/>
        <w:gridCol w:w="109"/>
        <w:gridCol w:w="496"/>
        <w:gridCol w:w="1942"/>
        <w:gridCol w:w="256"/>
        <w:gridCol w:w="109"/>
        <w:gridCol w:w="109"/>
        <w:gridCol w:w="109"/>
        <w:gridCol w:w="211"/>
        <w:gridCol w:w="826"/>
        <w:gridCol w:w="109"/>
        <w:gridCol w:w="109"/>
        <w:gridCol w:w="109"/>
        <w:gridCol w:w="109"/>
        <w:gridCol w:w="211"/>
        <w:gridCol w:w="826"/>
        <w:gridCol w:w="156"/>
      </w:tblGrid>
      <w:tr>
        <w:trPr/>
        <w:tc>
          <w:tcPr>
            <w:tcW w:w="40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Asset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Payment Deferrals With/Without Term Extensions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Rate Reductions With/Without Term Extensions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Other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(4)(5)</w:t>
            </w:r>
          </w:p>
        </w:tc>
      </w:tr>
      <w:tr>
        <w:trPr/>
        <w:tc>
          <w:tcPr>
            <w:tcW w:w="11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13,200 </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260,723 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386,923 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(1)This loan was modified to a weighted average pay rate and deferred rate of 5.65% and 3.00%, respectively, at June 30, 2026 and the pay rate increases from time-to-time throughout the loan maturity. This loan was also modified to extend the weighted average term by 22.1 months. </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(2)These loans were modified to reduce the interest rate to a weighted average rate of 5.72% at June 30, 2026, and to extend the weighted average term by 36.8 months. The interest rate on one of these loans with a UPB of $20.8 million increases from time-to-time throughout the loan maturity.</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(3)This loan modification capitalized $1.2 million of unpaid interest and divided this loan into a $104.1 million tranche bearing interest at SOFR plus 3.00% and a $10.1 million tranche bearing interest at a fixed rate of 10.00%.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200" w:after="283"/>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total UPB of these loan modifications were $386.1 million at June 30, 2026 and represented 3% of our Structured portfolio at June 30, 2026.</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(5)Includes loans with a total UPB of $113.0 million, which were previously modified in prior years. Using the SOFR rate at June 30, 2026, such loans were modified from a weighted average pay rate and deferred rate of 6.65% and 1.25%, respectively, to a weighted average pay rate and deferred rate of 6.95% and 0.00%, respectively.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the UPB of loan modifications, as of the modification date, made to borrowers experiencing financial difficulty during the six months ended June 30, 2026 (in thousands):</w:t>
      </w:r>
    </w:p>
    <w:tbl>
      <w:tblPr>
        <w:tblW w:w="10205" w:type="dxa"/>
        <w:jc w:val="left"/>
        <w:tblInd w:w="0" w:type="dxa"/>
        <w:tblLayout w:type="fixed"/>
        <w:tblCellMar>
          <w:top w:w="28" w:type="dxa"/>
          <w:left w:w="28" w:type="dxa"/>
          <w:bottom w:w="28" w:type="dxa"/>
          <w:right w:w="28" w:type="dxa"/>
        </w:tblCellMar>
      </w:tblPr>
      <w:tblGrid>
        <w:gridCol w:w="400"/>
        <w:gridCol w:w="353"/>
        <w:gridCol w:w="358"/>
        <w:gridCol w:w="109"/>
        <w:gridCol w:w="109"/>
        <w:gridCol w:w="109"/>
        <w:gridCol w:w="509"/>
        <w:gridCol w:w="1995"/>
        <w:gridCol w:w="263"/>
        <w:gridCol w:w="109"/>
        <w:gridCol w:w="109"/>
        <w:gridCol w:w="109"/>
        <w:gridCol w:w="491"/>
        <w:gridCol w:w="1922"/>
        <w:gridCol w:w="253"/>
        <w:gridCol w:w="109"/>
        <w:gridCol w:w="109"/>
        <w:gridCol w:w="109"/>
        <w:gridCol w:w="211"/>
        <w:gridCol w:w="826"/>
        <w:gridCol w:w="109"/>
        <w:gridCol w:w="109"/>
        <w:gridCol w:w="109"/>
        <w:gridCol w:w="109"/>
        <w:gridCol w:w="213"/>
        <w:gridCol w:w="835"/>
        <w:gridCol w:w="159"/>
      </w:tblGrid>
      <w:tr>
        <w:trPr/>
        <w:tc>
          <w:tcPr>
            <w:tcW w:w="40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Asset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Payment Deferrals With/Without Term Extensions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Rate Reductions With/Without Term Extensions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Other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(4)(5)(6)</w:t>
            </w:r>
          </w:p>
        </w:tc>
      </w:tr>
      <w:tr>
        <w:trPr/>
        <w:tc>
          <w:tcPr>
            <w:tcW w:w="11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179,986 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457,317 </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228,420 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865,723 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(1)These loans were modified to a weighted average pay rate and deferred rate of 4.69% and 2.81%, respectively, at June 30, 2026 and to extend the weighted average term by 23.5 months. These modifications also include loans with a total UPB of $78.3 million in which the pay rate increases from time-to-time throughout the loans' maturities.</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(2)These loans were modified to reduce the interest rate to a weighted average pay rate and deferred rate of 5.52% and 0.46%, respectively, and to extend the weighted average term by 29.0 months.</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(3)Loan modifications with a total UPB of $115.4 million included amending certain terms, such as reallocating and/or replenishment of reserves, providing for a temporary and conditional forbearance of foreclosure and temporarily delaying past due interest payments. A loan modification with a UPB of $113.0 million was modified to capitalize $1.2 million of unpaid interest and was divided into a $104.1 million tranche bearing interest at SOFR plus 3.00% and a $10.1 million tranche bearing interest at a fixed rate of 10.00%.</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total UPB of the loan modifications made during the six months ended June 30, 2026 was $865.4 million at June 30, 2026 and represented 7% of our Structured portfolio at June 30, 2026.</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(5)At June 30, 2026, modified loans with a UPB of $33.0 million have specific reserves totaling $1.0 million.</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(6)Includes loans with a total UPB of $421.1 million, which were previously modified in prior years. Using the SOFR rate at June 30, 2026, these loans were modified from a weighted average pay rate and deferred rate of 5.67% and 2.01%, respectively, to a weighted average pay rate and deferred rate of 4.99% and 1.89%, respectively.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the UPB of loan modifications, as of the modification date, made to borrowers experiencing financial difficulty during the three months ended June 30, 2025 ($ in thousands):</w:t>
      </w:r>
    </w:p>
    <w:tbl>
      <w:tblPr>
        <w:tblW w:w="10205" w:type="dxa"/>
        <w:jc w:val="left"/>
        <w:tblInd w:w="0" w:type="dxa"/>
        <w:tblLayout w:type="fixed"/>
        <w:tblCellMar>
          <w:top w:w="28" w:type="dxa"/>
          <w:left w:w="28" w:type="dxa"/>
          <w:bottom w:w="28" w:type="dxa"/>
          <w:right w:w="28" w:type="dxa"/>
        </w:tblCellMar>
      </w:tblPr>
      <w:tblGrid>
        <w:gridCol w:w="400"/>
        <w:gridCol w:w="353"/>
        <w:gridCol w:w="358"/>
        <w:gridCol w:w="109"/>
        <w:gridCol w:w="109"/>
        <w:gridCol w:w="109"/>
        <w:gridCol w:w="626"/>
        <w:gridCol w:w="2451"/>
        <w:gridCol w:w="323"/>
        <w:gridCol w:w="109"/>
        <w:gridCol w:w="109"/>
        <w:gridCol w:w="109"/>
        <w:gridCol w:w="109"/>
        <w:gridCol w:w="109"/>
        <w:gridCol w:w="524"/>
        <w:gridCol w:w="2053"/>
        <w:gridCol w:w="270"/>
        <w:gridCol w:w="109"/>
        <w:gridCol w:w="109"/>
        <w:gridCol w:w="109"/>
        <w:gridCol w:w="109"/>
        <w:gridCol w:w="109"/>
        <w:gridCol w:w="214"/>
        <w:gridCol w:w="840"/>
        <w:gridCol w:w="110"/>
        <w:gridCol w:w="109"/>
        <w:gridCol w:w="157"/>
      </w:tblGrid>
      <w:tr>
        <w:trPr/>
        <w:tc>
          <w:tcPr>
            <w:tcW w:w="40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Asset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Payment Deferrals With/Without Term Extensions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Rate Reduction Without Term Extension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(3)(4)(5)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144,905 </w:t>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107,000 </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251,905 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(1)These loans were modified to a weighted average pay rate and deferred rate of 5.50% and 2.78%, respectively, at June 30, 2025. A portion of these loans with a total UPB of $116.5 million were also modified to extend the weighted average term by 19 months. These modifications also include loans with a total UPB of $38.1 million in which the pay rate increases from time-to-time throughout the loans' maturities.</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(2)These loans were modified to reduce the interest rate to a weighted average pay rate and deferred rate of 5.97% and 0.56%, respectively, and to extend the weighted average term by 23 months.</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total UPB of the loan modifications made during the three months ended June 30, 2025 was $249.9 million at June 30, 2025 and represented 2% of our Structured portfolio at June 30, 2025.</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(4)At June 30, 2025, a modified loan with a UPB of $25.6 million has a specific reserve of $2.2 million.</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(5)Includes loans with a total UPB of $136.1 million, which were previously modified in prior years. Using the SOFR rate at June 30, 2025, these loans were modified from a weighted average pay rate and deferred rate of 6.47% and 1.65%, respectively, to a weighted average pay rate and deferred rate of 5.18% and 2.28%,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200" w:after="283"/>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the UPB of loan modifications, as of the modification date, made to borrowers experiencing financial difficulty during the six months ended June 30, 2025 (in thousands):</w:t>
      </w:r>
    </w:p>
    <w:tbl>
      <w:tblPr>
        <w:tblW w:w="10205" w:type="dxa"/>
        <w:jc w:val="left"/>
        <w:tblInd w:w="0" w:type="dxa"/>
        <w:tblLayout w:type="fixed"/>
        <w:tblCellMar>
          <w:top w:w="28" w:type="dxa"/>
          <w:left w:w="28" w:type="dxa"/>
          <w:bottom w:w="28" w:type="dxa"/>
          <w:right w:w="28" w:type="dxa"/>
        </w:tblCellMar>
      </w:tblPr>
      <w:tblGrid>
        <w:gridCol w:w="556"/>
        <w:gridCol w:w="490"/>
        <w:gridCol w:w="498"/>
        <w:gridCol w:w="109"/>
        <w:gridCol w:w="109"/>
        <w:gridCol w:w="109"/>
        <w:gridCol w:w="455"/>
        <w:gridCol w:w="1783"/>
        <w:gridCol w:w="235"/>
        <w:gridCol w:w="109"/>
        <w:gridCol w:w="109"/>
        <w:gridCol w:w="109"/>
        <w:gridCol w:w="440"/>
        <w:gridCol w:w="1723"/>
        <w:gridCol w:w="227"/>
        <w:gridCol w:w="109"/>
        <w:gridCol w:w="109"/>
        <w:gridCol w:w="109"/>
        <w:gridCol w:w="211"/>
        <w:gridCol w:w="826"/>
        <w:gridCol w:w="109"/>
        <w:gridCol w:w="109"/>
        <w:gridCol w:w="109"/>
        <w:gridCol w:w="109"/>
        <w:gridCol w:w="211"/>
        <w:gridCol w:w="976"/>
        <w:gridCol w:w="157"/>
      </w:tblGrid>
      <w:tr>
        <w:trPr/>
        <w:tc>
          <w:tcPr>
            <w:tcW w:w="55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Asset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Payment Deferrals With/Without Term Extensions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Rate Reductions With/Without Term Extensions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Other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(4)(5)(6)</w:t>
            </w:r>
          </w:p>
        </w:tc>
      </w:tr>
      <w:tr>
        <w:trPr/>
        <w:tc>
          <w:tcPr>
            <w:tcW w:w="15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994,270 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107,000 </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1,185,245 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Single-Family Rental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UPB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994,270 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107,000 </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100,465 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1,201,735 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(1)These loans were modified to a weighted average pay rate and deferred rate of 5.23% and 2.19%, respectively, at June 30, 2025. A portion of these loans with a total UPB of $225.2 million were also modified to extend the weighted average term by 19.3 months. These modifications also include loans with a total UPB of $508.4 million in which the pay rate increases from time-to-time throughout the loans' maturities.</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(2)These loans were modified to reduce the interest rate to a weighted average pay rate and deferred rate of 5.97% and 0.56%, respectively, and to extend the weighted average term by 23 months.</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(3)These loan modifications included amending certain terms, such as reallocating and/or replenishment of reserves, providing for a temporary and conditional forbearance of foreclosure and temporarily delaying past due interest payments.</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total UPB of the loan modifications made during the six months ended June 30, 2025 was $1.20 billion at June 30, 2025 and represented 11% of our Structured portfolio at June 30, 2025.</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(5)At June 30, 2025, modified loans with a UPB of $51.1 million have specific reserves totaling $7.4 million.</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(6)Includes loans with a total UPB of $520.1 million, which were previously modified in prior years. Using the SOFR rate at June 30, 2025, these loans were modified from a weighted average pay rate and deferred rate of 6.71% and 1.25%, respectively, to a weighted average pay rate and deferred rate of 4.69% and 3.10%, respectively.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we recorded $0.4 million and $0.6 million, respectively, of deferred interest on the loans that we modified during 2026 and $3.9 million and $9.3 million, respectively, for loans previously modified. During the three and six months ended June 30, 2025, we recorded $1.9 million and $5.7 million, respectively, of deferred interest on the loans that we modified during 2025 and $8.3 million and $17.4 million, respectively, for loans previously modified. During the three and six months ended June 30, 2025, we reversed through interest income $4.3 million and $7.6 million, respectively, of interest receivable that was previously accrued on modified loans that we deemed the collection of interest to be doubtful.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At June 30, 2026 and December 31, 2025, we have recorded deferred interest totaling $62.7 million and $68.3 million, respectively, on all modified loans to borrowers experiencing financial difficulty, which is included in other assets on the consolidated balance sheets.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At June 30, 2026 and December 31, 2025, we had future funding commitments on modified loans with borrowers experiencing financial difficulty of $3.4 million and $17.4 million, respectively, which are generally subject to performance covenants that must be met by the borrower to receive funding.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 loan modifications completed in the past 12 months were performing pursuant to their contractual terms at June 30, 2026, except for three loans with a total UPB of $72.3 million. Since these loans are not performing pursuant to their modified terms, these loans are classified as non-accruing loans.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There were no other material loan modifications, refinancings and/or extensions during the three and six months ended June 30, 2026 and 2025 for borrowers experiencing financial difficulty.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Loan Resolutions</w:t>
      </w:r>
    </w:p>
    <w:p>
      <w:pPr>
        <w:pStyle w:val="TextBody"/>
        <w:bidi w:val="0"/>
        <w:spacing w:lineRule="auto" w:line="288" w:before="200" w:after="283"/>
        <w:jc w:val="left"/>
        <w:rPr/>
      </w:pPr>
      <w:r>
        <w:rPr>
          <w:rFonts w:ascii="Times New Roman;serif" w:hAnsi="Times New Roman;serif"/>
          <w:b w:val="false"/>
          <w:color w:val="000000"/>
          <w:sz w:val="20"/>
        </w:rPr>
        <w:t xml:space="preserve">During the three months ended June 30, 2026, we exercised our right to foreclose on </w:t>
      </w:r>
      <w:r>
        <w:rPr>
          <w:rFonts w:ascii="Times New Roman;serif" w:hAnsi="Times New Roman;serif"/>
          <w:b w:val="false"/>
          <w:color w:val="000000"/>
          <w:sz w:val="18"/>
        </w:rPr>
        <w:t xml:space="preserve">two </w:t>
      </w:r>
      <w:r>
        <w:rPr>
          <w:rFonts w:ascii="Times New Roman;serif" w:hAnsi="Times New Roman;serif"/>
          <w:b w:val="false"/>
          <w:color w:val="000000"/>
          <w:sz w:val="20"/>
        </w:rPr>
        <w:t xml:space="preserve">properties in Texas that were the underlying collateral for bridge loans with an aggregate UPB of $42.0 million and an aggregate net carrying value of $41.3 million, including one non-performing loan with a UPB of $21.1 million. The loans had a weighted average pay rate of SOFR plus 3.55% and a weighted average deferred rate of 0.58%. At foreclosure, we recognized aggregate gains of $0.5 million through gain (loss) on real estate on the consolidated statements of operations. We sold the properties during the three months ended June 30, 2026 for aggregate proceeds of $42.5 million to new borrowers and provided new bridge loans totaling $41.9 million with a weighted average interest rate of SOFR plus 2.50% and a weighted average interest rate floor of 6.14%. </w:t>
      </w:r>
    </w:p>
    <w:p>
      <w:pPr>
        <w:pStyle w:val="TextBody"/>
        <w:bidi w:val="0"/>
        <w:spacing w:lineRule="auto" w:line="288" w:before="200" w:after="283"/>
        <w:jc w:val="left"/>
        <w:rPr/>
      </w:pPr>
      <w:r>
        <w:rPr>
          <w:rFonts w:ascii="Times New Roman;serif" w:hAnsi="Times New Roman;serif"/>
          <w:b w:val="false"/>
          <w:color w:val="000000"/>
          <w:sz w:val="20"/>
        </w:rPr>
        <w:t xml:space="preserve">During the six months ended June 30, 2026, we exercised our right to foreclose on </w:t>
      </w:r>
      <w:r>
        <w:rPr>
          <w:rFonts w:ascii="Times New Roman;serif" w:hAnsi="Times New Roman;serif"/>
          <w:b w:val="false"/>
          <w:color w:val="000000"/>
          <w:sz w:val="18"/>
        </w:rPr>
        <w:t>three</w:t>
      </w:r>
      <w:r>
        <w:rPr>
          <w:color w:val="000000"/>
        </w:rPr>
        <w:t xml:space="preserve"> </w:t>
      </w:r>
      <w:r>
        <w:rPr>
          <w:rFonts w:ascii="Times New Roman;serif" w:hAnsi="Times New Roman;serif"/>
          <w:b w:val="false"/>
          <w:color w:val="000000"/>
          <w:sz w:val="20"/>
        </w:rPr>
        <w:t xml:space="preserve">properties in Texas that were the underlying collateral for bridge loans with an aggregate UPB of $67.0 million and an aggregate net carrying value of $66.1 million, including two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200" w:after="283"/>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non-performing loans with an aggregate UPB of $46.1 million. The loans had a weighted average pay rate of SOFR plus 3.44% and a weighted average deferred rate of 0.36%. At foreclosure, we recognized aggregate gains of $0.5 million through gain (loss) on real estate and recorded a $1.8 million loss through the provision for credit losses, which was charged-off. We sold the properties during the six months ended June 30, 2026 for aggregate proceeds of $67.5 million to new borrowers and provided new bridge loans totaling $66.4 million with a weighted average interest rate of SOFR plus 2.50%. Two of the newly originated loans are subject to a weighted average interest rate floor of 6.14%.</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newly originated loans described above represent loan-to-capitalization ratios ranging from 81%-88%, reflecting additional equity contributed by the new borrowers to fund the agreed upon purchase price, closing costs, capital expenditures and other reserve requirements.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See Note 9 for additional loan resolution details.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Interest Reserves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Given the transitional nature of some of our real estate loans, we may require funds to be placed into an interest reserve as required by the loan documents to cover debt service costs. At June 30, 2026 and December 31, 2025, we had total interest reserves of $216.2 million and $259.7 million, respectively, on 329 loans and 444 loans, respectively, with a total UPB of $8.44 billion and $8.68 billion,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4 — Loans Held-for-Sale, Net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GSE loans held-for-sale are typically sold within 60 days of loan origination, while our non-GSE loans are generally expected to be sold to third parties or securitized within 180 days of loan origination. Loans held-for-sale, net consists of the following ($ in thousands):</w:t>
      </w:r>
    </w:p>
    <w:tbl>
      <w:tblPr>
        <w:tblW w:w="6226" w:type="dxa"/>
        <w:jc w:val="left"/>
        <w:tblInd w:w="0" w:type="dxa"/>
        <w:tblLayout w:type="fixed"/>
        <w:tblCellMar>
          <w:top w:w="28" w:type="dxa"/>
          <w:left w:w="28" w:type="dxa"/>
          <w:bottom w:w="28" w:type="dxa"/>
          <w:right w:w="28" w:type="dxa"/>
        </w:tblCellMar>
      </w:tblPr>
      <w:tblGrid>
        <w:gridCol w:w="1165"/>
        <w:gridCol w:w="1019"/>
        <w:gridCol w:w="1025"/>
        <w:gridCol w:w="211"/>
        <w:gridCol w:w="826"/>
        <w:gridCol w:w="109"/>
        <w:gridCol w:w="109"/>
        <w:gridCol w:w="109"/>
        <w:gridCol w:w="109"/>
        <w:gridCol w:w="273"/>
        <w:gridCol w:w="1072"/>
        <w:gridCol w:w="199"/>
      </w:tblGrid>
      <w:tr>
        <w:trPr/>
        <w:tc>
          <w:tcPr>
            <w:tcW w:w="1165"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Fannie Mae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180,834 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303,196 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Freddie Mac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Label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77,798 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FHA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22,390 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SFR - Fixed 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378,247 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408,386 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future MSR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impairment recovery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discount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(6,640)</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held-for-sale,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375,797 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409,081 </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we sold $1.14 billion and $1.81 billion, respectively, of loans held-for-sale. During the three and six months ended June 30, 2025, we sold $807.0 million and $1.54 billion, respectively, of loans held-for-sale.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At June 30, 2026 and December 31, 2025, there were no loans held-for-sale that were 90 days or more past due, and there were no loans held-for-sale that were placed on a non-accrual status.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5 — Capitalized Mortgage Servicing Rights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capitalized mortgage servicing rights (“MSRs”) reflect commercial real estate MSRs derived primarily from loans sold in our Agency Business or acquired MSRs. The discount rates used to determine the present value of all our MSRs throughout the periods presented were between 8% - 14% (representing a weighted average discount rate of 12%) based on our best estimate of market discount rates. The weighted average estimated life remaining of our MSRs was 5.8 years and 6.1 years at June 30, 2026 and December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200" w:after="283"/>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 summary of our capitalized MSR activity is as follows ($ in thousands):</w:t>
      </w:r>
    </w:p>
    <w:tbl>
      <w:tblPr>
        <w:tblW w:w="10205" w:type="dxa"/>
        <w:jc w:val="left"/>
        <w:tblInd w:w="0" w:type="dxa"/>
        <w:tblLayout w:type="fixed"/>
        <w:tblCellMar>
          <w:top w:w="28" w:type="dxa"/>
          <w:left w:w="28" w:type="dxa"/>
          <w:bottom w:w="28" w:type="dxa"/>
          <w:right w:w="28" w:type="dxa"/>
        </w:tblCellMar>
      </w:tblPr>
      <w:tblGrid>
        <w:gridCol w:w="760"/>
        <w:gridCol w:w="652"/>
        <w:gridCol w:w="656"/>
        <w:gridCol w:w="211"/>
        <w:gridCol w:w="826"/>
        <w:gridCol w:w="109"/>
        <w:gridCol w:w="109"/>
        <w:gridCol w:w="109"/>
        <w:gridCol w:w="109"/>
        <w:gridCol w:w="211"/>
        <w:gridCol w:w="616"/>
        <w:gridCol w:w="109"/>
        <w:gridCol w:w="109"/>
        <w:gridCol w:w="109"/>
        <w:gridCol w:w="109"/>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211"/>
        <w:gridCol w:w="826"/>
        <w:gridCol w:w="155"/>
      </w:tblGrid>
      <w:tr>
        <w:trPr/>
        <w:tc>
          <w:tcPr>
            <w:tcW w:w="76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2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Originated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Acquired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Originated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Acquired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329,621 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331,929 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338,174 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340,842 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(36,540)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Write-downs and payoffs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321,892 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323,887 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321,892 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323,887 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353,005 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357,220 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363,861 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368,678 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(35,525)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Write-downs and payoffs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344,630 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348,326 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344,630 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348,326 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collected prepayment fees totaling $0.8 million and $1.7 million during the three and six months ended June 30, 2026, respectively, and $0.9 million and $1.9 million during the three and six months ended June 30, 2025, respectively, which are included as a component of servicing revenue, net on the consolidated statements of operations. At June 30, 2026 and December 31, 2025, no MSRs were considered impaired.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expected amortization of capitalized MSRs recorded at June 30, 2026 is as follows ($ in thousands):</w:t>
      </w:r>
    </w:p>
    <w:tbl>
      <w:tblPr>
        <w:tblW w:w="4727" w:type="dxa"/>
        <w:jc w:val="left"/>
        <w:tblInd w:w="0" w:type="dxa"/>
        <w:tblLayout w:type="fixed"/>
        <w:tblCellMar>
          <w:top w:w="28" w:type="dxa"/>
          <w:left w:w="28" w:type="dxa"/>
          <w:bottom w:w="28" w:type="dxa"/>
          <w:right w:w="28" w:type="dxa"/>
        </w:tblCellMar>
      </w:tblPr>
      <w:tblGrid>
        <w:gridCol w:w="1157"/>
        <w:gridCol w:w="1019"/>
        <w:gridCol w:w="1033"/>
        <w:gridCol w:w="109"/>
        <w:gridCol w:w="109"/>
        <w:gridCol w:w="109"/>
        <w:gridCol w:w="211"/>
        <w:gridCol w:w="826"/>
        <w:gridCol w:w="154"/>
      </w:tblGrid>
      <w:tr>
        <w:trPr/>
        <w:tc>
          <w:tcPr>
            <w:tcW w:w="115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Amortization</w:t>
            </w:r>
          </w:p>
        </w:tc>
      </w:tr>
      <w:tr>
        <w:trPr/>
        <w:tc>
          <w:tcPr>
            <w:tcW w:w="32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(six months ending 12/31/2026)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36,457 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323,887 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Based on scheduled maturities, actual amortization may vary from these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200" w:after="283"/>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6 — Mortgage Servicing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Product and geographic concentrations that impact our servicing revenue are as follows ($ in thousands):</w:t>
      </w:r>
    </w:p>
    <w:tbl>
      <w:tblPr>
        <w:tblW w:w="8117" w:type="dxa"/>
        <w:jc w:val="left"/>
        <w:tblInd w:w="0" w:type="dxa"/>
        <w:tblLayout w:type="fixed"/>
        <w:tblCellMar>
          <w:top w:w="28" w:type="dxa"/>
          <w:left w:w="28" w:type="dxa"/>
          <w:bottom w:w="28" w:type="dxa"/>
          <w:right w:w="28" w:type="dxa"/>
        </w:tblCellMar>
      </w:tblPr>
      <w:tblGrid>
        <w:gridCol w:w="543"/>
        <w:gridCol w:w="478"/>
        <w:gridCol w:w="479"/>
        <w:gridCol w:w="109"/>
        <w:gridCol w:w="109"/>
        <w:gridCol w:w="109"/>
        <w:gridCol w:w="211"/>
        <w:gridCol w:w="1081"/>
        <w:gridCol w:w="109"/>
        <w:gridCol w:w="109"/>
        <w:gridCol w:w="109"/>
        <w:gridCol w:w="109"/>
        <w:gridCol w:w="269"/>
        <w:gridCol w:w="209"/>
        <w:gridCol w:w="526"/>
        <w:gridCol w:w="109"/>
        <w:gridCol w:w="109"/>
        <w:gridCol w:w="109"/>
        <w:gridCol w:w="440"/>
        <w:gridCol w:w="440"/>
        <w:gridCol w:w="440"/>
        <w:gridCol w:w="197"/>
        <w:gridCol w:w="197"/>
        <w:gridCol w:w="197"/>
        <w:gridCol w:w="266"/>
        <w:gridCol w:w="266"/>
        <w:gridCol w:w="788"/>
      </w:tblGrid>
      <w:tr>
        <w:trPr/>
        <w:tc>
          <w:tcPr>
            <w:tcW w:w="5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r>
      <w:tr>
        <w:trPr/>
        <w:tc>
          <w:tcPr>
            <w:tcW w:w="8117"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455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Product Concentrations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Geographic Concentrations</w:t>
            </w:r>
          </w:p>
        </w:tc>
      </w:tr>
      <w:tr>
        <w:trPr/>
        <w:tc>
          <w:tcPr>
            <w:tcW w:w="15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Product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UPB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of 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State</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UPB % of Total</w:t>
            </w:r>
          </w:p>
        </w:tc>
      </w:tr>
      <w:tr>
        <w:trPr/>
        <w:tc>
          <w:tcPr>
            <w:tcW w:w="15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Fannie Mae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24,419,734 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7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Freddie Mac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7,672,121 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7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Label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2,477,077 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North Carolina</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7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FHA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1,585,871 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7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Bridge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7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SFR - Fixed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Jersey</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7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36,704,362 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7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(3)</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7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7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7"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5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Fannie Mae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24,085,960 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c>
          <w:tcPr>
            <w:tcW w:w="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7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Freddie Mac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7,455,088 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7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Label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2,558,048 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North Carolina</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7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FHA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1,549,483 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7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Bridge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7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SFR - Fixed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7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36,203,807 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Jersey</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7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7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(3)</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7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78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(1)Excludes loans which we are not collecting a servicing fee.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(2)Represents bridge loans sold by our Structured Business that we are servicing.</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(3)No other individual state represented 4% or more of the total.</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At June 30, 2026 and December 31, 2025, our weighted average servicing fee was 35.0 basis points and 35.6 basis points, respectively. At June 30, 2026 and December 31, 2025, we held total escrow balances (including unfunded collateralized loan obligation ("CLO") hold backs) of approximately $1.25 billion and $1.35 billion, respectively, of which approximately $1.24 billion and $1.34 billion, respectively, is not included in our consolidated balance sheets. These escrows are maintained in separate accounts at several federally insured depository institutions, which may exceed FDIC insured limits. We earn interest income on the total escrow deposits, which is generally based on a market rate of interest negotiated with the financial institutions that hold the escrow deposits. Interest earned on total escrows, net of interest paid to the borrower, is included as a component of servicing revenue, net in the consolidated statements of operations as noted in the following 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200" w:after="283"/>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servicing revenue, net are as follows ($ in thousands):</w:t>
      </w:r>
    </w:p>
    <w:tbl>
      <w:tblPr>
        <w:tblW w:w="7859" w:type="dxa"/>
        <w:jc w:val="left"/>
        <w:tblInd w:w="0" w:type="dxa"/>
        <w:tblLayout w:type="fixed"/>
        <w:tblCellMar>
          <w:top w:w="28" w:type="dxa"/>
          <w:left w:w="28" w:type="dxa"/>
          <w:bottom w:w="28" w:type="dxa"/>
          <w:right w:w="28" w:type="dxa"/>
        </w:tblCellMar>
      </w:tblPr>
      <w:tblGrid>
        <w:gridCol w:w="966"/>
        <w:gridCol w:w="849"/>
        <w:gridCol w:w="85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6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fees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65,430 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earned on escrows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and payoffs of MSRs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MSRs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revenue,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27,437 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49,619 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53,040 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7 — Securities Held-to-Maturity</w:t>
      </w:r>
    </w:p>
    <w:p>
      <w:pPr>
        <w:pStyle w:val="TextBody"/>
        <w:bidi w:val="0"/>
        <w:spacing w:lineRule="auto" w:line="288" w:before="200" w:after="283"/>
        <w:jc w:val="left"/>
        <w:rPr/>
      </w:pPr>
      <w:r>
        <w:rPr>
          <w:rFonts w:ascii="Times New Roman;serif" w:hAnsi="Times New Roman;serif"/>
          <w:b/>
          <w:i/>
          <w:color w:val="000000"/>
          <w:sz w:val="20"/>
        </w:rPr>
        <w:t>Agency Private Label Certificates (“APL certificates”).</w:t>
      </w:r>
      <w:r>
        <w:rPr>
          <w:color w:val="000000"/>
        </w:rPr>
        <w:t xml:space="preserve"> </w:t>
      </w:r>
      <w:r>
        <w:rPr>
          <w:rFonts w:ascii="Times New Roman;serif" w:hAnsi="Times New Roman;serif"/>
          <w:b w:val="false"/>
          <w:color w:val="000000"/>
          <w:sz w:val="20"/>
        </w:rPr>
        <w:t>In connection with our Private Label securitizations, we retain the most subordinate class of the APL certificates in satisfaction of credit risk retention requirements. At June 30, 2026, we held APL certificates with an initial face value of $192.8 million, which were purchased at a discount for $119.0 million. These certificates are collateralized by 5-year to 10-year fixed rate first mortgage loans on multifamily properties, bear interest at an initial weighted average variable rate of 3.94% and have an estimated weighted average remaining maturity of 4.8 years. The weighted average effective interest rate was 8.84% at both June 30, 2026 and December 31, 2025, including the accretion of a portion of the discount deemed collectible. Approximately $63.6 million is estimated to mature in one to five years and $129.2 million is estimated to mature in five to ten years.</w:t>
      </w:r>
    </w:p>
    <w:p>
      <w:pPr>
        <w:pStyle w:val="TextBody"/>
        <w:bidi w:val="0"/>
        <w:spacing w:lineRule="auto" w:line="288" w:before="200" w:after="283"/>
        <w:jc w:val="left"/>
        <w:rPr/>
      </w:pPr>
      <w:r>
        <w:rPr>
          <w:rFonts w:ascii="Times New Roman;serif" w:hAnsi="Times New Roman;serif"/>
          <w:b/>
          <w:i/>
          <w:color w:val="000000"/>
          <w:sz w:val="20"/>
        </w:rPr>
        <w:t>Agency B Piece Bonds.</w:t>
      </w:r>
      <w:r>
        <w:rPr>
          <w:color w:val="000000"/>
        </w:rPr>
        <w:t xml:space="preserve"> </w:t>
      </w:r>
      <w:r>
        <w:rPr>
          <w:rFonts w:ascii="Times New Roman;serif" w:hAnsi="Times New Roman;serif"/>
          <w:b w:val="false"/>
          <w:color w:val="000000"/>
          <w:sz w:val="20"/>
        </w:rPr>
        <w:t>At June 30, 2026, we held 49%, or $106.2 million initial face value, of seven Freddie Mac SBL program B Piece bonds, which were previously purchased at a discount for $74.7 million, and sold the remaining 51% to a third party. These securities are collateralized by a pool of multifamily mortgage loans, had an initial weighted average variable rate of 3.74% and have an estimated weighted average remaining maturity of 11.6 years. The weighted average effective interest rate was 3.32% and 2.00% at June 30, 2026 and December 31, 2025, respectively, including the accretion of a portion of the discount deemed collectible. Approximately $32.0 million is estimated to mature after ten years.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 summary of our securities held-to-maturity is as follows ($ in thousands):</w:t>
      </w:r>
    </w:p>
    <w:tbl>
      <w:tblPr>
        <w:tblW w:w="8771" w:type="dxa"/>
        <w:jc w:val="left"/>
        <w:tblInd w:w="0" w:type="dxa"/>
        <w:tblLayout w:type="fixed"/>
        <w:tblCellMar>
          <w:top w:w="28" w:type="dxa"/>
          <w:left w:w="28" w:type="dxa"/>
          <w:bottom w:w="28" w:type="dxa"/>
          <w:right w:w="28" w:type="dxa"/>
        </w:tblCellMar>
      </w:tblPr>
      <w:tblGrid>
        <w:gridCol w:w="629"/>
        <w:gridCol w:w="551"/>
        <w:gridCol w:w="559"/>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11"/>
        <w:gridCol w:w="826"/>
        <w:gridCol w:w="109"/>
        <w:gridCol w:w="109"/>
        <w:gridCol w:w="109"/>
        <w:gridCol w:w="109"/>
        <w:gridCol w:w="227"/>
        <w:gridCol w:w="777"/>
        <w:gridCol w:w="166"/>
      </w:tblGrid>
      <w:tr>
        <w:trPr/>
        <w:tc>
          <w:tcPr>
            <w:tcW w:w="62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Face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w:t>
              <w:br/>
              <w:t>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w:t>
              <w:br/>
              <w:t xml:space="preserve">Fair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Allowance for</w:t>
              <w:br/>
              <w:t>Credit Losses</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June 30, 2026</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APL certificates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 Piece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12,667 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224,761 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157,137 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150,321 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14,343 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December 31, 2025</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APL certificates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 Piece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15,349 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229,521 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156,087 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150,147 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17,013 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200" w:after="283"/>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changes in the allowance for credit losses for our securities held-to-maturity is as follows ($ in thousands):</w:t>
      </w:r>
    </w:p>
    <w:tbl>
      <w:tblPr>
        <w:tblW w:w="10205" w:type="dxa"/>
        <w:jc w:val="left"/>
        <w:tblInd w:w="0" w:type="dxa"/>
        <w:tblLayout w:type="fixed"/>
        <w:tblCellMar>
          <w:top w:w="28" w:type="dxa"/>
          <w:left w:w="28" w:type="dxa"/>
          <w:bottom w:w="28" w:type="dxa"/>
          <w:right w:w="28" w:type="dxa"/>
        </w:tblCellMar>
      </w:tblPr>
      <w:tblGrid>
        <w:gridCol w:w="789"/>
        <w:gridCol w:w="653"/>
        <w:gridCol w:w="657"/>
        <w:gridCol w:w="247"/>
        <w:gridCol w:w="724"/>
        <w:gridCol w:w="129"/>
        <w:gridCol w:w="109"/>
        <w:gridCol w:w="109"/>
        <w:gridCol w:w="109"/>
        <w:gridCol w:w="216"/>
        <w:gridCol w:w="740"/>
        <w:gridCol w:w="111"/>
        <w:gridCol w:w="109"/>
        <w:gridCol w:w="109"/>
        <w:gridCol w:w="109"/>
        <w:gridCol w:w="211"/>
        <w:gridCol w:w="721"/>
        <w:gridCol w:w="109"/>
        <w:gridCol w:w="109"/>
        <w:gridCol w:w="109"/>
        <w:gridCol w:w="109"/>
        <w:gridCol w:w="247"/>
        <w:gridCol w:w="724"/>
        <w:gridCol w:w="129"/>
        <w:gridCol w:w="109"/>
        <w:gridCol w:w="109"/>
        <w:gridCol w:w="109"/>
        <w:gridCol w:w="216"/>
        <w:gridCol w:w="740"/>
        <w:gridCol w:w="111"/>
        <w:gridCol w:w="109"/>
        <w:gridCol w:w="109"/>
        <w:gridCol w:w="109"/>
        <w:gridCol w:w="211"/>
        <w:gridCol w:w="721"/>
        <w:gridCol w:w="164"/>
      </w:tblGrid>
      <w:tr>
        <w:trPr/>
        <w:tc>
          <w:tcPr>
            <w:tcW w:w="78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APL Certificates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 Piece Bonds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APL Certificates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 Piece Bonds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15,349 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17,013 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 expense/(reversal)</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1,676 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12,667 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1,676 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12,667 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14,343 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1,659 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9,108 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1,658 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9,188 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10,846 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 expense/(reversal)</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2,107 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11,552 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2,107 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11,552 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13,659 </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allowance for credit losses on our held-to-maturity securities consists of (1) a general reserve estimated on a collective basis by major security type and was based on a reasonable and supportable forecast period and a historical loss reversion for similar securities, and (2) a specific reserve for underlying loans that are probable of loss. At June 30, 2026, securities held-to-maturity with a carrying value of $11.6 million (before specific allowances of $9.5 million) were on non-accrual status. We continue to accrue interest on all other securities that remain current.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recorded interest income (including the amortization of discount) related to these investments of $3.9 million and $7.6 million during the three and six months ended June 30, 2026, respectively, and $3.4 million and $7.1 million during the three and six months ended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8 — Investments in Equity Affiliates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account for all investments in equity affiliates under the equity method. A summary of these investments is as follows ($ in thousands):</w:t>
      </w:r>
    </w:p>
    <w:tbl>
      <w:tblPr>
        <w:tblW w:w="10205" w:type="dxa"/>
        <w:jc w:val="left"/>
        <w:tblInd w:w="0" w:type="dxa"/>
        <w:tblLayout w:type="fixed"/>
        <w:tblCellMar>
          <w:top w:w="28" w:type="dxa"/>
          <w:left w:w="28" w:type="dxa"/>
          <w:bottom w:w="28" w:type="dxa"/>
          <w:right w:w="28" w:type="dxa"/>
        </w:tblCellMar>
      </w:tblPr>
      <w:tblGrid>
        <w:gridCol w:w="1210"/>
        <w:gridCol w:w="1013"/>
        <w:gridCol w:w="1023"/>
        <w:gridCol w:w="109"/>
        <w:gridCol w:w="109"/>
        <w:gridCol w:w="109"/>
        <w:gridCol w:w="224"/>
        <w:gridCol w:w="770"/>
        <w:gridCol w:w="115"/>
        <w:gridCol w:w="114"/>
        <w:gridCol w:w="114"/>
        <w:gridCol w:w="114"/>
        <w:gridCol w:w="288"/>
        <w:gridCol w:w="988"/>
        <w:gridCol w:w="149"/>
        <w:gridCol w:w="109"/>
        <w:gridCol w:w="109"/>
        <w:gridCol w:w="109"/>
        <w:gridCol w:w="606"/>
        <w:gridCol w:w="2373"/>
        <w:gridCol w:w="450"/>
      </w:tblGrid>
      <w:tr>
        <w:trPr/>
        <w:tc>
          <w:tcPr>
            <w:tcW w:w="121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rPr/>
        <w:tc>
          <w:tcPr>
            <w:tcW w:w="3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Investments in Equity Affiliates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UPB of Loans to Equity Affiliates at June 30, 2026</w:t>
            </w:r>
          </w:p>
        </w:tc>
      </w:tr>
      <w:tr>
        <w:trPr/>
        <w:tc>
          <w:tcPr>
            <w:tcW w:w="32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Equity Affiliates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Biscayne Shores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24,343 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Fifth Wall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17,260 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AWC Real Estate Opportunity Partners 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17,134 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108,450 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AMAC Holdings III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11,598 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12,714 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33,410 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ARSR DPREF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Lightstone Value Plus REIT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Clarus Berkley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67,900 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Park at Via Terrossa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21,845 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Docsumo Pte.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JT Prime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Cypress at Wesley Park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14,964 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Lexford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East River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82,762 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57,966 </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246,569 </w:t>
            </w:r>
          </w:p>
        </w:tc>
        <w:tc>
          <w:tcPr>
            <w:tcW w:w="4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i/>
          <w:color w:val="000000"/>
          <w:sz w:val="20"/>
        </w:rPr>
        <w:t>Biscayne Shores</w:t>
      </w:r>
      <w:r>
        <w:rPr>
          <w:rFonts w:ascii="Times New Roman;serif" w:hAnsi="Times New Roman;serif"/>
          <w:b/>
          <w:color w:val="000000"/>
          <w:sz w:val="20"/>
        </w:rPr>
        <w:t xml:space="preserve">. </w:t>
      </w:r>
      <w:r>
        <w:rPr>
          <w:rFonts w:ascii="Times New Roman;serif" w:hAnsi="Times New Roman;serif"/>
          <w:b w:val="false"/>
          <w:color w:val="000000"/>
          <w:sz w:val="20"/>
        </w:rPr>
        <w:t>In the second quarter of 2026, we contributed $25.0 million for a 25.6% interest in a multifamily property. During both the three and six months ended June 30, 2026, we received distributions of $0.7 million, which were classified as returns of capital. Operating results from this investment were de minimis this period.</w:t>
      </w:r>
    </w:p>
    <w:p>
      <w:pPr>
        <w:pStyle w:val="TextBody"/>
        <w:bidi w:val="0"/>
        <w:spacing w:lineRule="auto" w:line="268" w:before="200" w:after="283"/>
        <w:jc w:val="left"/>
        <w:rPr/>
      </w:pPr>
      <w:r>
        <w:rPr>
          <w:rFonts w:ascii="Times New Roman;serif" w:hAnsi="Times New Roman;serif"/>
          <w:b/>
          <w:i/>
          <w:color w:val="000000"/>
          <w:sz w:val="20"/>
        </w:rPr>
        <w:t xml:space="preserve">Fifth Wall Ventures ("Fifth Wall"). </w:t>
      </w:r>
      <w:r>
        <w:rPr>
          <w:rFonts w:ascii="Times New Roman;serif" w:hAnsi="Times New Roman;serif"/>
          <w:b w:val="false"/>
          <w:color w:val="000000"/>
          <w:sz w:val="20"/>
        </w:rPr>
        <w:t xml:space="preserve">During the three and six months ended June 30, 2026, we recorded income of $0.1 million and loss of $0.7 million, respectively, and made contributions of $2.9 million and $3.2 million, respectively. During the three and six months ended June 30, 2025, we recorded income of $0.3 million and $0.8 million, respectively, and made contributions of $1.2 million and $1.9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200" w:after="283"/>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million, respectively. During both the three and six months ended June 30, 2025, we received distributions of $1.4 million, which were classified as returns of capital. </w:t>
      </w:r>
    </w:p>
    <w:p>
      <w:pPr>
        <w:pStyle w:val="TextBody"/>
        <w:bidi w:val="0"/>
        <w:spacing w:lineRule="auto" w:line="288" w:before="240" w:after="283"/>
        <w:jc w:val="left"/>
        <w:rPr/>
      </w:pPr>
      <w:r>
        <w:rPr>
          <w:rFonts w:ascii="Times New Roman;serif" w:hAnsi="Times New Roman;serif"/>
          <w:b/>
          <w:i/>
          <w:color w:val="000000"/>
          <w:sz w:val="20"/>
        </w:rPr>
        <w:t>AWC Real Estate Opportunity Partners I LP ("AWC").</w:t>
      </w:r>
      <w:r>
        <w:rPr>
          <w:color w:val="000000"/>
        </w:rPr>
        <w:t xml:space="preserve"> </w:t>
      </w:r>
      <w:r>
        <w:rPr>
          <w:rFonts w:ascii="Times New Roman;serif" w:hAnsi="Times New Roman;serif"/>
          <w:b w:val="false"/>
          <w:color w:val="000000"/>
          <w:sz w:val="20"/>
        </w:rPr>
        <w:t>During the three and six months ended June 30, 2026, we recorded a loss of $0.4 million and $0.7 million, respectively, and during the three and six months ended June 30, 2025, we recorded a loss of $0.1 million and $0.2 million, respectively, related to this investment. During the three and six months ended June 30, 2025, we made contributions of $1.3 million and $3.7 million, respectively, related to this investment. During both the three and six months ended June 30, 2025 we received distributions of $1.0 million, which were classified as returns of capital. Certain investments made by AWC are in qualified properties that have outstanding bridge loans originated by us and a Fannie Mae DUS loan we continue to service. Interest income recorded from the bridge loans was $1.8 million and $3.6 million for the three and six months ended June 30, 2026, respectively, and $2.1 million and $4.2 million for the three and six months ended June 30, 2025, respectively.</w:t>
      </w:r>
    </w:p>
    <w:p>
      <w:pPr>
        <w:pStyle w:val="TextBody"/>
        <w:bidi w:val="0"/>
        <w:spacing w:lineRule="auto" w:line="268" w:before="200" w:after="283"/>
        <w:jc w:val="left"/>
        <w:rPr/>
      </w:pPr>
      <w:r>
        <w:rPr>
          <w:rFonts w:ascii="Times New Roman;serif" w:hAnsi="Times New Roman;serif"/>
          <w:b/>
          <w:i/>
          <w:color w:val="000000"/>
          <w:sz w:val="20"/>
        </w:rPr>
        <w:t>AMAC Holdings III LLC (“AMAC III”).</w:t>
      </w:r>
      <w:r>
        <w:rPr>
          <w:color w:val="000000"/>
        </w:rPr>
        <w:t xml:space="preserve"> </w:t>
      </w:r>
      <w:r>
        <w:rPr>
          <w:rFonts w:ascii="Times New Roman;serif" w:hAnsi="Times New Roman;serif"/>
          <w:b w:val="false"/>
          <w:color w:val="000000"/>
          <w:sz w:val="20"/>
        </w:rPr>
        <w:t>During the three and six months ended June 30, 2026, we recorded a loss of $0.7 million and $1.1 million, respectively. During the three and six months ended June 30, 2025, we recorded a loss of $1.1 million and $1.9 million, respectively, and made contributions of $0.9 million for both the three and six months ended June 30, 2025.</w:t>
      </w:r>
    </w:p>
    <w:p>
      <w:pPr>
        <w:pStyle w:val="TextBody"/>
        <w:bidi w:val="0"/>
        <w:spacing w:lineRule="auto" w:line="288" w:before="240" w:after="283"/>
        <w:jc w:val="left"/>
        <w:rPr/>
      </w:pPr>
      <w:r>
        <w:rPr>
          <w:rFonts w:ascii="Times New Roman;serif" w:hAnsi="Times New Roman;serif"/>
          <w:b/>
          <w:i/>
          <w:color w:val="000000"/>
          <w:sz w:val="20"/>
        </w:rPr>
        <w:t>Lexford Portfolio.</w:t>
      </w:r>
      <w:r>
        <w:rPr>
          <w:color w:val="000000"/>
        </w:rPr>
        <w:t xml:space="preserve"> </w:t>
      </w:r>
      <w:r>
        <w:rPr>
          <w:rFonts w:ascii="Times New Roman;serif" w:hAnsi="Times New Roman;serif"/>
          <w:b w:val="false"/>
          <w:color w:val="000000"/>
          <w:sz w:val="20"/>
        </w:rPr>
        <w:t>During the three and six months ended June 30, 2026, we received distributions from this investment and recognized income of $3.0 million and $8.8 million, respectively. During both the three and six months ended June 30, 2025, we received distributions from this investment and recognized income of $3.4 million.</w:t>
      </w:r>
    </w:p>
    <w:p>
      <w:pPr>
        <w:pStyle w:val="TextBody"/>
        <w:bidi w:val="0"/>
        <w:spacing w:lineRule="auto" w:line="288" w:before="240" w:after="283"/>
        <w:jc w:val="left"/>
        <w:rPr/>
      </w:pPr>
      <w:r>
        <w:rPr>
          <w:rFonts w:ascii="Times New Roman;serif" w:hAnsi="Times New Roman;serif"/>
          <w:b/>
          <w:i/>
          <w:color w:val="000000"/>
          <w:sz w:val="20"/>
        </w:rPr>
        <w:t>Arbor Residential Investor LLC.</w:t>
      </w:r>
      <w:r>
        <w:rPr>
          <w:color w:val="000000"/>
        </w:rPr>
        <w:t xml:space="preserve"> </w:t>
      </w:r>
      <w:r>
        <w:rPr>
          <w:rFonts w:ascii="Times New Roman;serif" w:hAnsi="Times New Roman;serif"/>
          <w:b w:val="false"/>
          <w:color w:val="000000"/>
          <w:sz w:val="20"/>
        </w:rPr>
        <w:t>During the six months ended June 30, 2025, we recorded a loss of $1.4 million. During the three and six months ended June 30, 2025, we received distributions of $5.6 million and $6.1 million, respectively, which were classified as returns of capital. We completed the sale of our interest in this investment in July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Note 18 for details of certain investments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9 — Real Estate Owned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 summary of our REO assets is as follows ($ in thousands):</w:t>
      </w:r>
    </w:p>
    <w:tbl>
      <w:tblPr>
        <w:tblW w:w="12073" w:type="dxa"/>
        <w:jc w:val="left"/>
        <w:tblInd w:w="0" w:type="dxa"/>
        <w:tblLayout w:type="fixed"/>
        <w:tblCellMar>
          <w:top w:w="28" w:type="dxa"/>
          <w:left w:w="28" w:type="dxa"/>
          <w:bottom w:w="28" w:type="dxa"/>
          <w:right w:w="28" w:type="dxa"/>
        </w:tblCellMar>
      </w:tblPr>
      <w:tblGrid>
        <w:gridCol w:w="588"/>
        <w:gridCol w:w="305"/>
        <w:gridCol w:w="308"/>
        <w:gridCol w:w="211"/>
        <w:gridCol w:w="826"/>
        <w:gridCol w:w="109"/>
        <w:gridCol w:w="109"/>
        <w:gridCol w:w="109"/>
        <w:gridCol w:w="109"/>
        <w:gridCol w:w="211"/>
        <w:gridCol w:w="721"/>
        <w:gridCol w:w="109"/>
        <w:gridCol w:w="109"/>
        <w:gridCol w:w="109"/>
        <w:gridCol w:w="109"/>
        <w:gridCol w:w="211"/>
        <w:gridCol w:w="616"/>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616"/>
        <w:gridCol w:w="109"/>
        <w:gridCol w:w="109"/>
        <w:gridCol w:w="109"/>
        <w:gridCol w:w="109"/>
        <w:gridCol w:w="211"/>
        <w:gridCol w:w="826"/>
        <w:gridCol w:w="154"/>
      </w:tblGrid>
      <w:tr>
        <w:trPr/>
        <w:tc>
          <w:tcPr>
            <w:tcW w:w="58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Multifamily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Office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Land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Multifamily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Office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Land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115,576 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137,122 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109,788 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131,334 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u w:val="single"/>
              </w:rPr>
              <w:t>Less:</w:t>
            </w:r>
            <w:r>
              <w:rPr>
                <w:color w:val="000000"/>
              </w:rPr>
              <w:t xml:space="preserve"> </w:t>
            </w:r>
            <w:r>
              <w:rPr>
                <w:rFonts w:ascii="Times New Roman;serif" w:hAnsi="Times New Roman;serif"/>
                <w:b w:val="false"/>
                <w:color w:val="000000"/>
                <w:sz w:val="20"/>
              </w:rPr>
              <w:t>Impairment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u w:val="single"/>
              </w:rPr>
              <w:t>Less:</w:t>
            </w:r>
            <w:r>
              <w:rPr>
                <w:color w:val="000000"/>
              </w:rPr>
              <w:t xml:space="preserve"> </w:t>
            </w:r>
            <w:r>
              <w:rPr>
                <w:rFonts w:ascii="Times New Roman;serif" w:hAnsi="Times New Roman;serif"/>
                <w:b w:val="false"/>
                <w:color w:val="000000"/>
                <w:sz w:val="20"/>
              </w:rPr>
              <w:t>Accumulated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owned,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472,306 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545,946 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434,554 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498,938 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foreclosed loans</w:t>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properties</w:t>
            </w:r>
          </w:p>
        </w:tc>
        <w:tc>
          <w:tcPr>
            <w:tcW w:w="103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5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20"/>
        </w:rPr>
        <w:t>During the three and six</w:t>
      </w:r>
      <w:r>
        <w:rPr>
          <w:color w:val="000000"/>
        </w:rPr>
        <w:t xml:space="preserve"> </w:t>
      </w:r>
      <w:r>
        <w:rPr>
          <w:rFonts w:ascii="Times New Roman;serif" w:hAnsi="Times New Roman;serif"/>
          <w:b w:val="false"/>
          <w:color w:val="000000"/>
          <w:sz w:val="20"/>
        </w:rPr>
        <w:t>months ended June 30, 2026, we foreclosed on three and five multifamily bridge loans, respectively, each of which was collateralized by one property, and received ownership of the underlying collateral as REO assets. The loans foreclosed during the three and six</w:t>
      </w:r>
      <w:r>
        <w:rPr>
          <w:color w:val="000000"/>
        </w:rPr>
        <w:t xml:space="preserve"> </w:t>
      </w:r>
      <w:r>
        <w:rPr>
          <w:rFonts w:ascii="Times New Roman;serif" w:hAnsi="Times New Roman;serif"/>
          <w:b w:val="false"/>
          <w:color w:val="000000"/>
          <w:sz w:val="20"/>
        </w:rPr>
        <w:t>months ended June 30, 2026 had an aggregate net carrying value of $68.8 million and $102.8 million, respectively, net of CECL reserves of $3.5 million in each period. Upon foreclosure, we recorded charge-offs against the allowance for credit losses of $6.0 million during both the three and six</w:t>
      </w:r>
      <w:r>
        <w:rPr>
          <w:color w:val="000000"/>
        </w:rPr>
        <w:t xml:space="preserve"> </w:t>
      </w:r>
      <w:r>
        <w:rPr>
          <w:rFonts w:ascii="Times New Roman;serif" w:hAnsi="Times New Roman;serif"/>
          <w:b w:val="false"/>
          <w:color w:val="000000"/>
          <w:sz w:val="20"/>
        </w:rPr>
        <w:t xml:space="preserve">months ended June 30, 2026, which included $2.5 million of additional provision for credit losses recognized upon foreclosure. There were no reversals of previously recorded allowance for credit losses upon foreclosure during either period. </w:t>
      </w:r>
    </w:p>
    <w:p>
      <w:pPr>
        <w:pStyle w:val="TextBody"/>
        <w:bidi w:val="0"/>
        <w:spacing w:lineRule="auto" w:line="288" w:before="200" w:after="283"/>
        <w:jc w:val="left"/>
        <w:rPr/>
      </w:pPr>
      <w:r>
        <w:rPr>
          <w:rFonts w:ascii="Times New Roman;serif" w:hAnsi="Times New Roman;serif"/>
          <w:b w:val="false"/>
          <w:color w:val="000000"/>
          <w:sz w:val="20"/>
        </w:rPr>
        <w:t>During the three and six months ended June 30, 2026, we sold three and four existing</w:t>
      </w:r>
      <w:r>
        <w:rPr>
          <w:color w:val="000000"/>
        </w:rPr>
        <w:t xml:space="preserve"> </w:t>
      </w:r>
      <w:r>
        <w:rPr>
          <w:rFonts w:ascii="Times New Roman;serif" w:hAnsi="Times New Roman;serif"/>
          <w:b w:val="false"/>
          <w:color w:val="000000"/>
          <w:sz w:val="20"/>
        </w:rPr>
        <w:t xml:space="preserve">multifamily REO properties for $37.3 million and $45.3 million, respectively, and repaid mortgage notes outstanding of $24.5 million in the second quarter of 2026. During the three and six months ended June 30, 2026, we recognized losses of $0.4 million, and $2.4 million, respectively, relating to these dispositions, excluding the loss associated with the significant financing component discussed below. Additionally, we provided new bridge loan financing to two and three of the buyers, respectively, totaling $31.9 million and $41.4 million, respectively. The bridge loans bear interest at floating rates generally equal to the greater of stated floors ranging from 5.17% to 6.65% and SOFR plus spreads ranging from 1.50% to 3.00%, with one loan increasing in year two to the greater of 6.17% and SOFR plus 2.50%. One of the new financings provided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200" w:after="283"/>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was deemed to have a significant financing component and, as a result, during the six months ended June 30, 2026, we recorded a loss and corresponding liability of $0.1 million as an adjustment to the purchase price, which will be accreted into interest income over the life of the loan. The net losses of these transactions were recorded through gain (loss) on real estate on the consolidated statements of operations.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newly originated loans described above represent loan-to-capitalization ratios ranging from 72%-88%, reflecting additional equity contributed by the new borrowers to fund the agreed upon purchase price, closing costs, capital expenditures and other reserve requirements.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See Note 3 for details of properties foreclosed and sold within the same reporting period. </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 xml:space="preserve">three and six months ended June 30, 2026, we determined that certain of our REO assets exhibited indicators of impairment based on expected disposition strategies, our evaluation of current market conditions and other property-specific assumptions, including expected disposition proceeds, recent market bids or broker opinions of value, projected property-level operating performance, occupancy and net operating income expectations. Based on our impairment analysis performed, we recorded an impairment loss of $13.7 million and $26.2 million, related to two and six properties, for the three and six months ended June 30, 2026, respectively, which represents the extent to which the carrying value of the properties exceeded their estimated fair value less costs to sell. The fair value measurements for these impaired REO assets were determined on a nonrecurring basis and were classified as Level 3 within the fair value hierarchy, including, as applicable, expected sales proceeds, broker opinions of value, appraisals, capitalization rates, projected property-level cash flows and estimated selling costs. </w:t>
      </w:r>
    </w:p>
    <w:p>
      <w:pPr>
        <w:pStyle w:val="TextBody"/>
        <w:bidi w:val="0"/>
        <w:spacing w:lineRule="auto" w:line="288" w:before="200" w:after="283"/>
        <w:jc w:val="left"/>
        <w:rPr/>
      </w:pPr>
      <w:r>
        <w:rPr>
          <w:rFonts w:ascii="Times New Roman;serif" w:hAnsi="Times New Roman;serif"/>
          <w:b w:val="false"/>
          <w:color w:val="000000"/>
          <w:sz w:val="20"/>
        </w:rPr>
        <w:t>At June 30, 2026 and December 31, 2025, we had notes payable totaling $270.4 million and $223.0 million, respectively, which are collateralized by our REO assets. Interest rates on the notes range</w:t>
      </w:r>
      <w:r>
        <w:rPr>
          <w:color w:val="000000"/>
          <w:shd w:fill="FFFFFF" w:val="clear"/>
        </w:rPr>
        <w:t xml:space="preserve"> </w:t>
      </w:r>
      <w:r>
        <w:rPr>
          <w:rFonts w:ascii="Times New Roman;serif" w:hAnsi="Times New Roman;serif"/>
          <w:b w:val="false"/>
          <w:color w:val="000000"/>
          <w:sz w:val="20"/>
        </w:rPr>
        <w:t>from SOFR plus 2.18% to SOFR plus 3.25%, wit</w:t>
      </w:r>
      <w:r>
        <w:rPr>
          <w:rFonts w:ascii="Times New Roman;serif" w:hAnsi="Times New Roman;serif"/>
          <w:b w:val="false"/>
          <w:color w:val="000000"/>
          <w:sz w:val="20"/>
          <w:shd w:fill="FFFFFF" w:val="clear"/>
        </w:rPr>
        <w:t>h maturities spanning fr</w:t>
      </w:r>
      <w:r>
        <w:rPr>
          <w:rFonts w:ascii="Times New Roman;serif" w:hAnsi="Times New Roman;serif"/>
          <w:b w:val="false"/>
          <w:color w:val="000000"/>
          <w:sz w:val="20"/>
        </w:rPr>
        <w:t>om August 2026 to September 2027.</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At June 30, 2026 and December 31, 2025, our multifamily REO properties had a weighted average occupancy rate of approximately 51% and 45%, respectively, excluding three and two properties, respectively, that were vacant due to renovations. At June 30, 2026 and December 31, 2025, both our office buildings were vacant.</w:t>
      </w:r>
    </w:p>
    <w:p>
      <w:pPr>
        <w:pStyle w:val="TextBody"/>
        <w:bidi w:val="0"/>
        <w:spacing w:lineRule="auto" w:line="288" w:before="200" w:after="283"/>
        <w:jc w:val="left"/>
        <w:rPr/>
      </w:pPr>
      <w:r>
        <w:rPr>
          <w:rFonts w:ascii="Times New Roman;serif" w:hAnsi="Times New Roman;serif"/>
          <w:b w:val="false"/>
          <w:color w:val="000000"/>
          <w:sz w:val="20"/>
        </w:rPr>
        <w:t>We recorded depreciation expense related to the REO assets of $5.2 million and $11.2 million</w:t>
      </w:r>
      <w:r>
        <w:rPr>
          <w:color w:val="000000"/>
        </w:rPr>
        <w:t xml:space="preserve"> </w:t>
      </w:r>
      <w:r>
        <w:rPr>
          <w:rFonts w:ascii="Times New Roman;serif" w:hAnsi="Times New Roman;serif"/>
          <w:b w:val="false"/>
          <w:color w:val="000000"/>
          <w:sz w:val="20"/>
        </w:rPr>
        <w:t>f</w:t>
      </w:r>
      <w:r>
        <w:rPr>
          <w:rFonts w:ascii="Times New Roman;serif" w:hAnsi="Times New Roman;serif"/>
          <w:b w:val="false"/>
          <w:color w:val="000000"/>
          <w:sz w:val="20"/>
          <w:shd w:fill="FFFFFF" w:val="clear"/>
        </w:rPr>
        <w:t>or the</w:t>
      </w:r>
      <w:r>
        <w:rPr>
          <w:color w:val="000000"/>
        </w:rPr>
        <w:t xml:space="preserve"> </w:t>
      </w:r>
      <w:r>
        <w:rPr>
          <w:rFonts w:ascii="Times New Roman;serif" w:hAnsi="Times New Roman;serif"/>
          <w:b w:val="false"/>
          <w:color w:val="000000"/>
          <w:sz w:val="20"/>
        </w:rPr>
        <w:t>three and six months ended June 30, 2026, respectively, and $4.8 million and $7.5 million for the three and six months ended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200" w:after="283"/>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10 — Debt Obligations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Credit and Repurchase Facilities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our credit and repurchase facilities are as follows ($ in thousands):</w:t>
      </w:r>
    </w:p>
    <w:tbl>
      <w:tblPr>
        <w:tblW w:w="10415" w:type="dxa"/>
        <w:jc w:val="left"/>
        <w:tblInd w:w="0" w:type="dxa"/>
        <w:tblLayout w:type="fixed"/>
        <w:tblCellMar>
          <w:top w:w="28" w:type="dxa"/>
          <w:left w:w="28" w:type="dxa"/>
          <w:bottom w:w="28" w:type="dxa"/>
          <w:right w:w="28" w:type="dxa"/>
        </w:tblCellMar>
      </w:tblPr>
      <w:tblGrid>
        <w:gridCol w:w="438"/>
        <w:gridCol w:w="306"/>
        <w:gridCol w:w="307"/>
        <w:gridCol w:w="265"/>
        <w:gridCol w:w="265"/>
        <w:gridCol w:w="266"/>
        <w:gridCol w:w="109"/>
        <w:gridCol w:w="109"/>
        <w:gridCol w:w="109"/>
        <w:gridCol w:w="280"/>
        <w:gridCol w:w="280"/>
        <w:gridCol w:w="281"/>
        <w:gridCol w:w="109"/>
        <w:gridCol w:w="109"/>
        <w:gridCol w:w="109"/>
        <w:gridCol w:w="109"/>
        <w:gridCol w:w="109"/>
        <w:gridCol w:w="196"/>
        <w:gridCol w:w="871"/>
        <w:gridCol w:w="109"/>
        <w:gridCol w:w="109"/>
        <w:gridCol w:w="109"/>
        <w:gridCol w:w="109"/>
        <w:gridCol w:w="196"/>
        <w:gridCol w:w="871"/>
        <w:gridCol w:w="109"/>
        <w:gridCol w:w="109"/>
        <w:gridCol w:w="109"/>
        <w:gridCol w:w="109"/>
        <w:gridCol w:w="210"/>
        <w:gridCol w:w="211"/>
        <w:gridCol w:w="268"/>
        <w:gridCol w:w="109"/>
        <w:gridCol w:w="109"/>
        <w:gridCol w:w="109"/>
        <w:gridCol w:w="196"/>
        <w:gridCol w:w="871"/>
        <w:gridCol w:w="109"/>
        <w:gridCol w:w="109"/>
        <w:gridCol w:w="109"/>
        <w:gridCol w:w="109"/>
        <w:gridCol w:w="196"/>
        <w:gridCol w:w="871"/>
        <w:gridCol w:w="109"/>
        <w:gridCol w:w="154"/>
      </w:tblGrid>
      <w:tr>
        <w:trPr/>
        <w:tc>
          <w:tcPr>
            <w:tcW w:w="43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Current</w:t>
              <w:b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Extended</w:t>
              <w:b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Debt</w:t>
              <w:br/>
              <w:t>Carrying</w:t>
              <w:br/>
              <w:t>Value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Collateral</w:t>
              <w:b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Wtd. Avg.</w:t>
              <w:br/>
              <w:t xml:space="preserve">Note </w:t>
              <w:br/>
              <w:t>Rate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Debt</w:t>
              <w:br/>
              <w:t>Carrying</w:t>
              <w:br/>
              <w:t>Value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Collateral</w:t>
              <w:br/>
              <w:t>Carrying</w:t>
              <w:br/>
              <w:t>Value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Structured Business</w:t>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$1.66B repurchase facility</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1,543,778 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2,145,982 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5.56</w:t>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1,149,944 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1,555,403 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$1.55B joint repurchase facility (3)</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Jul.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Jul.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1,569,336 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2,268,747 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5.91</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882,635 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1,468,161 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$1.00B repurchase facility</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857,560 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1,256,534 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6.49</w:t>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879,499 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1,207,513 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$850M repurchase facility (3)</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599,935 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6.51</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443,880 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725,309 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$650M repurchase facility (3)</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Oct.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6.27</w:t>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462,694 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549,069 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$400M credit facility</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Mar.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7.00</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$400M repurchase facility</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Jan.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Jan.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335,775 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6.03</w:t>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291,342 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$350M repurchase facility (7)</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Mar.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5.63</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$300M credit facility</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Mar.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Mar.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6.74</w:t>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$250M repurchase facility</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Sept.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Sept.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6.68</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$250M repurchase facility</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Oct.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5.19</w:t>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$250M repurchase facility</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Oct.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6.24</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$200M credit facility</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Mar.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Mar.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6.29</w:t>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$40M credit facility (7)</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Sept.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Sept.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6.09</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$35M working capital facility (7)</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Sept.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6.65</w:t>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$21M loan specific credit facility (9)</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Jul.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20,798 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5.83</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facility - securities (3)(4)</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w:t>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Structured Business total (8)</w:t>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5,452,981 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7,764,755 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5.98</w:t>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4,759,255 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6,765,147 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Agency Business</w:t>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$750M ASAP agreement</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4.87</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$500M repurchase facility</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Nov.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5.15</w:t>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$200M credit facility (7) </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Mar.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5.10</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$200M credit facility (7)</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4.95</w:t>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$100M joint repurchase facility (3)</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Jul.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Jul.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6.15</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Agency Business total</w:t>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359,277 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375,470 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5.29</w:t>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390,396 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405,609 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total</w:t>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5,812,258 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8,140,225 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5.94</w:t>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5,149,651 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7,170,756 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(1)At June 30, 2026 and December 31, 2025, debt carrying value for the Structured Business was net of unamortized deferred financing fees of $9.4 million and $11.7 million, respectively, and for the Agency Business was net of unamortized deferred financing fees of $0.3 million at both June 30, 2026 and December 31, 2025.</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(2)At June 30, 2026 and December 31, 2025, all credit and repurchase facilities are variable rate loans.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(3)These facilities are subject to margin call provisions associated with changes in interest spreads.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(4)At both June 30, 2026 and December 31, 2025, this facility was collateralized by investment grade notes we retained from our BTR CLO 1 securitization with a principal balance of $41.0 million, and at December 31, 2025 it was also collateralized by certificates retained by us from our Freddie Mac Q Series securitization (“Q Series securitization”) with a principal balance of $26.5 million.</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commitment amount under this facility expires six months after the lender provides written notice. We then have an additional six months to repurchase the underlying loans.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(6)This facility matures at the latest maturity date of all purchased assets, which is currently March 2029.</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(7)These facilities were extended in 2026.</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(8)These amounts exclude outstanding notes payable on our REO assets with a debt carrying value of $270.4 million and $223.0 million at June 30, 2026 and December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200" w:after="283"/>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(9)This facility matures on July 31, 2026 and will not be renewed.</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Structured Business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At June 30, 2026 and December 31, 2025, the weighted average interest rate for the credit and repurchase facilities of our Structured Business, including certain fees and costs, such as structuring, commitment, non-use and warehousing fees, was 6.24% and 6.40%, respectively. The leverage on our loan and investment portfolio financed through our credit and repurchase facilities, excluding the securities repurchase facility and the working capital facility, was 69% at both June 30, 2026 and December 31, 2025.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June 2026, we amended a $1.50 billion joint repurchase facility to increase the facility size to $1.65 billion to refinance loans previously held in CLO 17. The interest rate on the loans transferred from CLO 17 is SOFR plus 1.65%.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May 2026, we amended a $1.22 billion repurchase facility to increase the facility size to $1.66 billion to refinance loans previously held in CLO 17. The interest rate on the loans transferred from CLO 17 is SOFR plus 1.75%.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March 2026, we entered into a $300.0 million credit facility to finance BTR loans that matures in March 2029, with a one-year extension option. The facility may be increased, subject to lender approval, by up to $50.0 million to a maximum of $350.0 million. The facility has an interest rate of SOFR plus 3.00%, with a SOFR floor of 2.50%.</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Agency Business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2026, we extended the maturity of a $200.0 million credit facility to March 2027 and reduced the interest rate from SOFR plus 1.40% to SOFR plus 1.35%.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2026, we extended the maturity of our other $200.0 million credit facility to June 2027 and reduced the interest rate from SOFR plus 1.35% to SOFR plus 1.20%. </w:t>
      </w:r>
    </w:p>
    <w:p>
      <w:pPr>
        <w:pStyle w:val="TextBody"/>
        <w:bidi w:val="0"/>
        <w:spacing w:lineRule="auto" w:line="268" w:before="200" w:after="283"/>
        <w:jc w:val="left"/>
        <w:rPr>
          <w:rFonts w:ascii="Times New Roman;serif" w:hAnsi="Times New Roman;serif"/>
          <w:b/>
          <w:i/>
          <w:color w:val="000000"/>
          <w:sz w:val="20"/>
        </w:rPr>
      </w:pPr>
      <w:r>
        <w:rPr>
          <w:rFonts w:ascii="Times New Roman;serif" w:hAnsi="Times New Roman;serif"/>
          <w:b/>
          <w:i/>
          <w:color w:val="000000"/>
          <w:sz w:val="20"/>
        </w:rPr>
        <w:t>Securitized Debt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account for securitized debt transactions on our consolidated balance sheet as financing facilities. These transactions are considered VIEs for which we are the primary beneficiary and are consolidated in our financial statements. The investment grade notes and guaranteed certificates issued to third parties are treated as secured financings and are non-recourse to us.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Borrowings and the corresponding collateral under our securitized debt transactions are as follows ($ in thousands):</w:t>
      </w:r>
    </w:p>
    <w:tbl>
      <w:tblPr>
        <w:tblW w:w="10245" w:type="dxa"/>
        <w:jc w:val="left"/>
        <w:tblInd w:w="0" w:type="dxa"/>
        <w:tblLayout w:type="fixed"/>
        <w:tblCellMar>
          <w:top w:w="28" w:type="dxa"/>
          <w:left w:w="28" w:type="dxa"/>
          <w:bottom w:w="28" w:type="dxa"/>
          <w:right w:w="28" w:type="dxa"/>
        </w:tblCellMar>
      </w:tblPr>
      <w:tblGrid>
        <w:gridCol w:w="636"/>
        <w:gridCol w:w="362"/>
        <w:gridCol w:w="233"/>
        <w:gridCol w:w="109"/>
        <w:gridCol w:w="109"/>
        <w:gridCol w:w="109"/>
        <w:gridCol w:w="211"/>
        <w:gridCol w:w="976"/>
        <w:gridCol w:w="109"/>
        <w:gridCol w:w="109"/>
        <w:gridCol w:w="109"/>
        <w:gridCol w:w="109"/>
        <w:gridCol w:w="211"/>
        <w:gridCol w:w="976"/>
        <w:gridCol w:w="109"/>
        <w:gridCol w:w="109"/>
        <w:gridCol w:w="109"/>
        <w:gridCol w:w="109"/>
        <w:gridCol w:w="255"/>
        <w:gridCol w:w="256"/>
        <w:gridCol w:w="271"/>
        <w:gridCol w:w="109"/>
        <w:gridCol w:w="109"/>
        <w:gridCol w:w="109"/>
        <w:gridCol w:w="211"/>
        <w:gridCol w:w="976"/>
        <w:gridCol w:w="109"/>
        <w:gridCol w:w="109"/>
        <w:gridCol w:w="109"/>
        <w:gridCol w:w="109"/>
        <w:gridCol w:w="211"/>
        <w:gridCol w:w="976"/>
        <w:gridCol w:w="109"/>
        <w:gridCol w:w="109"/>
        <w:gridCol w:w="109"/>
        <w:gridCol w:w="109"/>
        <w:gridCol w:w="211"/>
        <w:gridCol w:w="721"/>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Collateral (3)</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Cash</w:t>
            </w:r>
          </w:p>
        </w:tc>
      </w:tr>
      <w:tr>
        <w:trPr/>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Face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w:t>
              <w:br/>
              <w:t>Value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Wtd. Avg.</w:t>
              <w:br/>
              <w:t>Rate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UPB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Restricted</w:t>
              <w:br/>
              <w:t>Cash (4)</w:t>
            </w:r>
          </w:p>
        </w:tc>
      </w:tr>
      <w:tr>
        <w:trPr/>
        <w:tc>
          <w:tcPr>
            <w:tcW w:w="12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CLO 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673,990 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668,339 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756,567 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753,112 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CLO 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933,187 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1,020,331 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BTR CLO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CLO 18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1,182,619 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1,182,470 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securitized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2,992,050 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2,972,246 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3,649,919 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3,641,332 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26,445 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CLO 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933,187 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1,045,664 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1,040,984 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BTR CLO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683,807 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CLO 18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1,339,523 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1,338,395 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CLO 17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1,055,700 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1,055,380 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1,443,820 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1,443,845 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CLOs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3,485,786 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3,468,258 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4,514,753 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4,507,031 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21,469 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Q Series securitization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securitized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3,485,786 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3,468,258 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4,565,353 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4,557,631 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21,469 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200" w:after="283"/>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(1)Debt carrying value is net of $19.8 million and $17.5 million of deferred financing fees at June 30, 2026 and December 31, 2025, respectively.</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(2)At June 30, 2026 and December 31, 2025, the aggregate weighted average note rate for our CLOs, including certain fees and costs, was 6.01% and 6.07%, respectively.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(3)At June 30, 2026 and December 31, 2025, 20 and 39 loans, respectively, with a total UPB of $808.3 million and $1.69 billion, respectively, were deemed a "credit risk" as defined by the CLO indentures. A credit risk asset is generally defined as one that, in the CLO collateral manager's reasonable business judgment, has a significant risk of becoming a defaulted asset.</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(4)Represents restricted cash held for principal repayments as well as for reinvestment in the CLOs. Does not include restricted cash related to interest payments, delayed fundings and expenses totaling $76.6 million and $10.1 million at June 30, 2026 and December 31, 2025, respectively.</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replenishment period for CLO 17 and CLO 18 ended in June 2024 and August 2024, respectively.</w:t>
      </w:r>
    </w:p>
    <w:p>
      <w:pPr>
        <w:pStyle w:val="TextBody"/>
        <w:bidi w:val="0"/>
        <w:spacing w:lineRule="auto" w:line="288" w:before="240" w:after="283"/>
        <w:jc w:val="left"/>
        <w:rPr/>
      </w:pPr>
      <w:r>
        <w:rPr>
          <w:rFonts w:ascii="Times New Roman;serif" w:hAnsi="Times New Roman;serif"/>
          <w:b/>
          <w:i/>
          <w:color w:val="000000"/>
          <w:sz w:val="20"/>
        </w:rPr>
        <w:t>CLO 17.</w:t>
      </w:r>
      <w:r>
        <w:rPr>
          <w:color w:val="000000"/>
        </w:rPr>
        <w:t xml:space="preserve"> </w:t>
      </w:r>
      <w:r>
        <w:rPr>
          <w:rFonts w:ascii="Times New Roman;serif" w:hAnsi="Times New Roman;serif"/>
          <w:b w:val="false"/>
          <w:color w:val="000000"/>
          <w:sz w:val="20"/>
        </w:rPr>
        <w:t>In May 2026, we unwound CLO 17, redeeming the remaining outstanding notes totaling $787.0 million, which were repaid from the availability in our credit and repurchase facilities.</w:t>
      </w:r>
    </w:p>
    <w:p>
      <w:pPr>
        <w:pStyle w:val="TextBody"/>
        <w:bidi w:val="0"/>
        <w:spacing w:lineRule="auto" w:line="288" w:before="200" w:after="283"/>
        <w:jc w:val="left"/>
        <w:rPr/>
      </w:pPr>
      <w:r>
        <w:rPr>
          <w:rFonts w:ascii="Times New Roman;serif" w:hAnsi="Times New Roman;serif"/>
          <w:b/>
          <w:i/>
          <w:color w:val="000000"/>
          <w:sz w:val="20"/>
        </w:rPr>
        <w:t>CLO 21.</w:t>
      </w:r>
      <w:r>
        <w:rPr>
          <w:color w:val="000000"/>
        </w:rPr>
        <w:t xml:space="preserve"> </w:t>
      </w:r>
      <w:r>
        <w:rPr>
          <w:rFonts w:ascii="Times New Roman;serif" w:hAnsi="Times New Roman;serif"/>
          <w:b w:val="false"/>
          <w:color w:val="000000"/>
          <w:sz w:val="20"/>
        </w:rPr>
        <w:t>In March 2026, we completed CLO 21, through a wholly owned subsidiary, issuing nine tranches of CLO notes totaling $762.6 million. Of the total CLO notes issued, $674.0 million consisted of investment grade notes issued to third-party investors. The remaining $88.6 million were below investment grade notes that were retained by us. As of the CLO closing date, the notes were secured by a portfolio of real estate related assets and cash with a face value of $662.6 million, with the real estate related assets primarily comprised of first-lien mortgage bridge loans contributed from our existing loan portfolio. The CLO has an approximate two and a half year replacement period, during which principal payments and sale proceeds from the underlying loans may be reinvested into qualifying replacement loan obligations, subject to conditions outlined in the indenture. Thereafter, the outstanding debt balance will decrease as loans are repaid. The proceeds of the issuance also included $100.0 million for the purpose of acquiring additional loan obligations within 180 days from the CLO closing date, which we subsequently utilized, resulting in the issuer owning loan obligations with a face value of $762.6 million, representing leverage of 88%. The notes sold to third parties had an initial weighted average interest rate of 1.73% plus term SOFR, with interest payable monthly.</w:t>
      </w:r>
    </w:p>
    <w:p>
      <w:pPr>
        <w:pStyle w:val="TextBody"/>
        <w:bidi w:val="0"/>
        <w:spacing w:lineRule="auto" w:line="288" w:before="200" w:after="283"/>
        <w:jc w:val="left"/>
        <w:rPr/>
      </w:pPr>
      <w:r>
        <w:rPr>
          <w:rFonts w:ascii="Times New Roman;serif" w:hAnsi="Times New Roman;serif"/>
          <w:b/>
          <w:i/>
          <w:color w:val="000000"/>
          <w:sz w:val="20"/>
        </w:rPr>
        <w:t>Securitization Paydowns</w:t>
      </w:r>
      <w:r>
        <w:rPr>
          <w:rFonts w:ascii="sans-serif" w:hAnsi="sans-serif"/>
          <w:b/>
          <w:color w:val="000000"/>
          <w:sz w:val="24"/>
        </w:rPr>
        <w:t>.</w:t>
      </w:r>
      <w:r>
        <w:rPr>
          <w:color w:val="000000"/>
        </w:rPr>
        <w:t xml:space="preserve"> </w:t>
      </w:r>
      <w:r>
        <w:rPr>
          <w:rFonts w:ascii="Times New Roman;serif" w:hAnsi="Times New Roman;serif"/>
          <w:b w:val="false"/>
          <w:color w:val="000000"/>
          <w:sz w:val="20"/>
        </w:rPr>
        <w:t>During the six months ended June 30, 2026, outstanding notes totaling $182.7 million on our existing CLOs have been paid down</w:t>
      </w:r>
      <w:r>
        <w:rPr>
          <w:rFonts w:ascii="sans-serif" w:hAnsi="sans-serif"/>
          <w:b w:val="false"/>
          <w:color w:val="000000"/>
          <w:sz w:val="22"/>
        </w:rPr>
        <w: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Senior Unsecured Notes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 summary of our senior unsecured notes is as follows ($ in thousands):</w:t>
      </w:r>
    </w:p>
    <w:tbl>
      <w:tblPr>
        <w:tblW w:w="11752" w:type="dxa"/>
        <w:jc w:val="left"/>
        <w:tblInd w:w="0" w:type="dxa"/>
        <w:tblLayout w:type="fixed"/>
        <w:tblCellMar>
          <w:top w:w="28" w:type="dxa"/>
          <w:left w:w="28" w:type="dxa"/>
          <w:bottom w:w="28" w:type="dxa"/>
          <w:right w:w="28" w:type="dxa"/>
        </w:tblCellMar>
      </w:tblPr>
      <w:tblGrid>
        <w:gridCol w:w="315"/>
        <w:gridCol w:w="277"/>
        <w:gridCol w:w="279"/>
        <w:gridCol w:w="109"/>
        <w:gridCol w:w="109"/>
        <w:gridCol w:w="109"/>
        <w:gridCol w:w="235"/>
        <w:gridCol w:w="235"/>
        <w:gridCol w:w="236"/>
        <w:gridCol w:w="109"/>
        <w:gridCol w:w="109"/>
        <w:gridCol w:w="109"/>
        <w:gridCol w:w="255"/>
        <w:gridCol w:w="255"/>
        <w:gridCol w:w="256"/>
        <w:gridCol w:w="109"/>
        <w:gridCol w:w="109"/>
        <w:gridCol w:w="109"/>
        <w:gridCol w:w="211"/>
        <w:gridCol w:w="976"/>
        <w:gridCol w:w="109"/>
        <w:gridCol w:w="109"/>
        <w:gridCol w:w="109"/>
        <w:gridCol w:w="109"/>
        <w:gridCol w:w="211"/>
        <w:gridCol w:w="976"/>
        <w:gridCol w:w="109"/>
        <w:gridCol w:w="109"/>
        <w:gridCol w:w="109"/>
        <w:gridCol w:w="109"/>
        <w:gridCol w:w="255"/>
        <w:gridCol w:w="256"/>
        <w:gridCol w:w="271"/>
        <w:gridCol w:w="109"/>
        <w:gridCol w:w="109"/>
        <w:gridCol w:w="109"/>
        <w:gridCol w:w="211"/>
        <w:gridCol w:w="976"/>
        <w:gridCol w:w="109"/>
        <w:gridCol w:w="109"/>
        <w:gridCol w:w="109"/>
        <w:gridCol w:w="109"/>
        <w:gridCol w:w="211"/>
        <w:gridCol w:w="976"/>
        <w:gridCol w:w="109"/>
        <w:gridCol w:w="109"/>
        <w:gridCol w:w="109"/>
        <w:gridCol w:w="109"/>
        <w:gridCol w:w="255"/>
        <w:gridCol w:w="256"/>
        <w:gridCol w:w="316"/>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Senior</w:t>
              <w:br/>
              <w:t>Unsecured Notes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Issuance</w:t>
              <w:br/>
              <w:t xml:space="preserve">Date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UPB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w:t>
              <w:br/>
              <w:t>Value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Wtd. Avg.</w:t>
              <w:br/>
              <w:t>Rate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UPB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w:t>
              <w:br/>
              <w:t xml:space="preserve">Value (1)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Wtd. Avg.</w:t>
              <w:br/>
              <w:t xml:space="preserve">Rate (2) </w:t>
            </w:r>
          </w:p>
        </w:tc>
      </w:tr>
      <w:tr>
        <w:trPr/>
        <w:tc>
          <w:tcPr>
            <w:tcW w:w="8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8.50% Notes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395,238 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394,340 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7.875% Notes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Jul.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Jul.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9.00% Notes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Oct.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Oct.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8.50% Notes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Oct.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Oct.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5.00% Notes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4.50% Notes (3)(5)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Sept.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4.50% Notes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5.00% Notes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Apr.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Apr.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1,875,000 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1,857,769 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2,050,000 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2,029,078 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(1)At June 30, 2026 and December 31, 2025, the carrying value is net of deferred financing fees of $17.2 million and $20.9 million, respectively.</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(2)At June 30, 2026 and December 31, 2025, the aggregate weighted average note rate, including certain fees and costs, was 7.23% and 7.06%, respectively.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(3)These notes can be redeemed by us prior to three months before the maturity date, at a redemption price equal to 100% of the aggregate principal amount, plus a “make-whole” premium and accrued and unpaid interest. We have the right to redeem the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200" w:after="283"/>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within three months prior to the maturity date at a redemption price equal to 100% of the aggregate principal amount, plus accrued and unpaid interest.</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(4)These notes can be redeemed by us prior to six months before the maturity date, at a redemption price equal to 100% of the aggregate principal amount, plus a “make-whole” premium and accrued and unpaid interest. We have the right to redeem the notes within six months prior to the maturity date at a redemption price equal to 100% of the aggregate principal amount, plus accrued and unpaid interest.</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(5)In July 2026, we redeemed our 4.50% senior notes. See "Convertible Senior Unsecured Notes" below.</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(6)In April 2026, we redeemed our 5.00% senior notes at maturity.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Convertible Senior Unsecured Notes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2025, our convertible notes matured, and were fully repaid with a portion of the net proceeds received from our 7.875% senior unsecured notes issued in July 2025. During the three months ended June 30, 2025, we incurred interest expense on the notes totaling $6.1 million, of which $5.4 million and $0.7 million related to the cash coupon and deferred financing fees, respectively. During the six months ended June 30, 2025, we incurred interest expense on the notes totaling $12.2 million, of which $10.8 million and $1.4 million related to the cash coupon and deferred financing fees, respectively. </w:t>
      </w:r>
    </w:p>
    <w:p>
      <w:pPr>
        <w:pStyle w:val="TextBody"/>
        <w:bidi w:val="0"/>
        <w:spacing w:lineRule="auto" w:line="288" w:before="240" w:after="283"/>
        <w:jc w:val="left"/>
        <w:rPr/>
      </w:pPr>
      <w:r>
        <w:rPr>
          <w:rFonts w:ascii="Times New Roman;serif" w:hAnsi="Times New Roman;serif"/>
          <w:b w:val="false"/>
          <w:i/>
          <w:color w:val="000000"/>
          <w:sz w:val="20"/>
        </w:rPr>
        <w:t xml:space="preserve">Subsequent Event. </w:t>
      </w:r>
      <w:r>
        <w:rPr>
          <w:rFonts w:ascii="Times New Roman;serif" w:hAnsi="Times New Roman;serif"/>
          <w:b w:val="false"/>
          <w:color w:val="000000"/>
          <w:sz w:val="20"/>
        </w:rPr>
        <w:t xml:space="preserve">In July 2026, we issued $375.0 million in aggregate principal amount of 6.25% convertible senior unsecured notes (the “6.25% Convertible Notes”) through a private placement offering, which includes the exercised initial purchaser's over-allotment option of $50.0 million. The 6.25% Convertible Notes pay interest semiannually in arrears and are scheduled to mature in July 2029, unless earlier converted or repurchased by the holders pursuant to their terms. The initial conversion rate was 164.0016 shares of common stock per $1,000 of principal representing a conversion price of $6.10 per share of common stock. We used the net proceeds to repurchase 2,140,300 shares of our common stock for $11.6 million, repurchase $102.7 million of our common stock pursuant to a prepaid forward transaction and used the remaining proceeds, together with cash on hand, to redeem, in full, our outstanding $270.0 million 4.50% senior unsecured notes that were due in September 2026. The initial aggregate number of shares of our common stock underlying the prepaid forward transaction is approximately 18,941,200 shares.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Junior Subordinated Notes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carrying values of borrowings under our junior subordinated notes were $145.9 million and $145.5 million at June 30, 2026 and December 31, 2025, respectively, which is net of a deferred amount of $7.3 million and $7.6 million, respectively, (which is amortized into interest expense over the life of the notes) and deferred financing fees of $1.2 million at both June 30, 2026 and December 31, 2025. These notes have maturities ranging from March 2034 through April 2037 and pay interest quarterly at a floating rate. The weighted average note rate was 6.60% and 6.52% at June 30, 2026 and December 31, 2025, respectively. Including certain fees and costs, the weighted average note rate was 6.69% and 6.61% at June 30, 2026 and December 31, 2025, respectively.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Debt Covenants</w:t>
      </w:r>
    </w:p>
    <w:p>
      <w:pPr>
        <w:pStyle w:val="TextBody"/>
        <w:bidi w:val="0"/>
        <w:spacing w:lineRule="auto" w:line="288" w:before="200" w:after="283"/>
        <w:jc w:val="left"/>
        <w:rPr/>
      </w:pPr>
      <w:r>
        <w:rPr>
          <w:rFonts w:ascii="Times New Roman;serif" w:hAnsi="Times New Roman;serif"/>
          <w:b/>
          <w:i/>
          <w:color w:val="000000"/>
          <w:sz w:val="20"/>
        </w:rPr>
        <w:t>Credit and Repurchase Facilities and Unsecured Debt.</w:t>
      </w:r>
      <w:r>
        <w:rPr>
          <w:color w:val="000000"/>
        </w:rPr>
        <w:t xml:space="preserve"> </w:t>
      </w:r>
      <w:r>
        <w:rPr>
          <w:rFonts w:ascii="Times New Roman;serif" w:hAnsi="Times New Roman;serif"/>
          <w:b w:val="false"/>
          <w:color w:val="000000"/>
          <w:sz w:val="20"/>
        </w:rPr>
        <w:t>The credit and repurchase facilities and unsecured debt contain various financial covenants, including, but not limited to, minimum liquidity requirements, minimum net worth requirements, minimum unencumbered asset requirements, as well as certain other debt service coverage ratios, debt to equity ratios and minimum servicing portfolio tests. We were in compliance with all financial covenants and restrictions at June 30, 2026.</w:t>
      </w:r>
    </w:p>
    <w:p>
      <w:pPr>
        <w:pStyle w:val="TextBody"/>
        <w:bidi w:val="0"/>
        <w:spacing w:lineRule="auto" w:line="288" w:before="200" w:after="283"/>
        <w:jc w:val="left"/>
        <w:rPr/>
      </w:pPr>
      <w:r>
        <w:rPr>
          <w:rFonts w:ascii="Times New Roman;serif" w:hAnsi="Times New Roman;serif"/>
          <w:b/>
          <w:i/>
          <w:color w:val="000000"/>
          <w:sz w:val="20"/>
        </w:rPr>
        <w:t xml:space="preserve">CLOs. </w:t>
      </w:r>
      <w:r>
        <w:rPr>
          <w:rFonts w:ascii="Times New Roman;serif" w:hAnsi="Times New Roman;serif"/>
          <w:b w:val="false"/>
          <w:color w:val="000000"/>
          <w:sz w:val="20"/>
        </w:rPr>
        <w:t>Our CLO vehicles contain interest coverage and asset overcollateralization covenants that must be met as of the waterfall distribution date in order for us to receive such payments. If we fail these covenants in any of our CLOs, all cash flows from the applicable CLO would be diverted to repay principal and interest on the outstanding CLO bonds and we would not receive any residual payments until that CLO regained compliance with such tests. Our CLOs were in compliance with all such covenants at June 30, 2026, as well as on the most recent determination dates in July 2026. In the event of a breach of the CLO covenants that could not be cured in the near-term, we would be required to fund our non-CLO expenses, including employee costs, distributions required to maintain our REIT status, debt costs, and other expenses with (1) cash on hand, (2) income from any CLO not in breach of a covenant test, (3) income from real property and loan assets, (4) sale of assets, or (5) accessing the equity or debt capital markets, if available. We have the right to cure covenant breaches which would resume normal residual payments to us by purchasing non-performing loans out of the CLOs. However, we may not have sufficient liquidity available to do so at such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200" w:after="283"/>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CLO compliance tests as of the most recent determination dates in July 2026 are as follows:</w:t>
      </w:r>
    </w:p>
    <w:tbl>
      <w:tblPr>
        <w:tblW w:w="8650" w:type="dxa"/>
        <w:jc w:val="left"/>
        <w:tblInd w:w="0" w:type="dxa"/>
        <w:tblLayout w:type="fixed"/>
        <w:tblCellMar>
          <w:top w:w="28" w:type="dxa"/>
          <w:left w:w="28" w:type="dxa"/>
          <w:bottom w:w="28" w:type="dxa"/>
          <w:right w:w="28" w:type="dxa"/>
        </w:tblCellMar>
      </w:tblPr>
      <w:tblGrid>
        <w:gridCol w:w="808"/>
        <w:gridCol w:w="710"/>
        <w:gridCol w:w="716"/>
        <w:gridCol w:w="109"/>
        <w:gridCol w:w="109"/>
        <w:gridCol w:w="109"/>
        <w:gridCol w:w="109"/>
        <w:gridCol w:w="109"/>
        <w:gridCol w:w="360"/>
        <w:gridCol w:w="361"/>
        <w:gridCol w:w="458"/>
        <w:gridCol w:w="109"/>
        <w:gridCol w:w="109"/>
        <w:gridCol w:w="109"/>
        <w:gridCol w:w="360"/>
        <w:gridCol w:w="361"/>
        <w:gridCol w:w="625"/>
        <w:gridCol w:w="109"/>
        <w:gridCol w:w="109"/>
        <w:gridCol w:w="109"/>
        <w:gridCol w:w="360"/>
        <w:gridCol w:w="361"/>
        <w:gridCol w:w="433"/>
        <w:gridCol w:w="109"/>
        <w:gridCol w:w="109"/>
        <w:gridCol w:w="109"/>
        <w:gridCol w:w="360"/>
        <w:gridCol w:w="361"/>
        <w:gridCol w:w="490"/>
      </w:tblGrid>
      <w:tr>
        <w:trPr/>
        <w:tc>
          <w:tcPr>
            <w:tcW w:w="80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 Triggers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CLO 18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BTR CLO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CLO 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CLO 21</w:t>
            </w:r>
          </w:p>
        </w:tc>
      </w:tr>
      <w:tr>
        <w:trPr/>
        <w:tc>
          <w:tcPr>
            <w:tcW w:w="22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Overcollateralization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145.88 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117.47 </w:t>
            </w:r>
          </w:p>
        </w:tc>
        <w:tc>
          <w:tcPr>
            <w:tcW w:w="6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112.52 </w:t>
            </w:r>
          </w:p>
        </w:tc>
        <w:tc>
          <w:tcPr>
            <w:tcW w:w="4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113.15 </w:t>
            </w:r>
          </w:p>
        </w:tc>
        <w:tc>
          <w:tcPr>
            <w:tcW w:w="4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Limit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123.03 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115.47 </w:t>
            </w:r>
          </w:p>
        </w:tc>
        <w:tc>
          <w:tcPr>
            <w:tcW w:w="6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110.52 </w:t>
            </w:r>
          </w:p>
        </w:tc>
        <w:tc>
          <w:tcPr>
            <w:tcW w:w="4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111.15 </w:t>
            </w:r>
          </w:p>
        </w:tc>
        <w:tc>
          <w:tcPr>
            <w:tcW w:w="4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Pass / Fail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Pass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Pass</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Interest Coverage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140.81 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171.10 </w:t>
            </w:r>
          </w:p>
        </w:tc>
        <w:tc>
          <w:tcPr>
            <w:tcW w:w="6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134.60 </w:t>
            </w:r>
          </w:p>
        </w:tc>
        <w:tc>
          <w:tcPr>
            <w:tcW w:w="4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133.81 </w:t>
            </w:r>
          </w:p>
        </w:tc>
        <w:tc>
          <w:tcPr>
            <w:tcW w:w="4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Limit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120.00 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120.00 </w:t>
            </w:r>
          </w:p>
        </w:tc>
        <w:tc>
          <w:tcPr>
            <w:tcW w:w="6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120.00 </w:t>
            </w:r>
          </w:p>
        </w:tc>
        <w:tc>
          <w:tcPr>
            <w:tcW w:w="4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120.00 </w:t>
            </w:r>
          </w:p>
        </w:tc>
        <w:tc>
          <w:tcPr>
            <w:tcW w:w="4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Pass / Fail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Pass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Pass</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overcollateralization ratio divides the total principal balance of all collateral in the CLO by the total principal balance of the bonds associated with the applicable ratio. To the extent an asset is considered a defaulted security, the asset’s principal balance for purposes of the overcollateralization test is the lesser of the asset’s market value or the principal balance of the defaulted asset multiplied by the asset’s recovery rate which is determined by the rating agencies. Rating downgrades of CLO collateral will generally not have a direct impact on the principal balance of a CLO asset for purposes of calculating the CLO overcollateralization test unless the rating downgrade is below a significantly low threshold (e.g., CCC-) as defined in each CLO vehicle.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interest coverage ratio divides interest income by interest expense for the classes senior to those retained by us.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CLO overcollateralization ratios as of the determination dates subsequent to each quarter are as follows:</w:t>
      </w:r>
    </w:p>
    <w:tbl>
      <w:tblPr>
        <w:tblW w:w="8035" w:type="dxa"/>
        <w:jc w:val="left"/>
        <w:tblInd w:w="0" w:type="dxa"/>
        <w:tblLayout w:type="fixed"/>
        <w:tblCellMar>
          <w:top w:w="28" w:type="dxa"/>
          <w:left w:w="28" w:type="dxa"/>
          <w:bottom w:w="28" w:type="dxa"/>
          <w:right w:w="28" w:type="dxa"/>
        </w:tblCellMar>
      </w:tblPr>
      <w:tblGrid>
        <w:gridCol w:w="586"/>
        <w:gridCol w:w="515"/>
        <w:gridCol w:w="518"/>
        <w:gridCol w:w="109"/>
        <w:gridCol w:w="109"/>
        <w:gridCol w:w="109"/>
        <w:gridCol w:w="109"/>
        <w:gridCol w:w="109"/>
        <w:gridCol w:w="360"/>
        <w:gridCol w:w="361"/>
        <w:gridCol w:w="458"/>
        <w:gridCol w:w="109"/>
        <w:gridCol w:w="109"/>
        <w:gridCol w:w="109"/>
        <w:gridCol w:w="360"/>
        <w:gridCol w:w="361"/>
        <w:gridCol w:w="625"/>
        <w:gridCol w:w="109"/>
        <w:gridCol w:w="109"/>
        <w:gridCol w:w="109"/>
        <w:gridCol w:w="360"/>
        <w:gridCol w:w="361"/>
        <w:gridCol w:w="433"/>
        <w:gridCol w:w="109"/>
        <w:gridCol w:w="109"/>
        <w:gridCol w:w="109"/>
        <w:gridCol w:w="360"/>
        <w:gridCol w:w="361"/>
        <w:gridCol w:w="490"/>
      </w:tblGrid>
      <w:tr>
        <w:trPr/>
        <w:tc>
          <w:tcPr>
            <w:tcW w:w="58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Determination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CLO 18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BTR CLO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CLO 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CLO 21</w:t>
            </w:r>
          </w:p>
        </w:tc>
      </w:tr>
      <w:tr>
        <w:trPr/>
        <w:tc>
          <w:tcPr>
            <w:tcW w:w="16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July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145.88 </w:t>
            </w:r>
          </w:p>
        </w:tc>
        <w:tc>
          <w:tcPr>
            <w:tcW w:w="4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117.47 </w:t>
            </w:r>
          </w:p>
        </w:tc>
        <w:tc>
          <w:tcPr>
            <w:tcW w:w="6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112.52 </w:t>
            </w:r>
          </w:p>
        </w:tc>
        <w:tc>
          <w:tcPr>
            <w:tcW w:w="4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113.15 </w:t>
            </w:r>
          </w:p>
        </w:tc>
        <w:tc>
          <w:tcPr>
            <w:tcW w:w="4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139.84 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117.47 </w:t>
            </w:r>
          </w:p>
        </w:tc>
        <w:tc>
          <w:tcPr>
            <w:tcW w:w="6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112.52 </w:t>
            </w:r>
          </w:p>
        </w:tc>
        <w:tc>
          <w:tcPr>
            <w:tcW w:w="4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113.15 </w:t>
            </w:r>
          </w:p>
        </w:tc>
        <w:tc>
          <w:tcPr>
            <w:tcW w:w="4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136.54 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117.47 </w:t>
            </w:r>
          </w:p>
        </w:tc>
        <w:tc>
          <w:tcPr>
            <w:tcW w:w="6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112.52 </w:t>
            </w:r>
          </w:p>
        </w:tc>
        <w:tc>
          <w:tcPr>
            <w:tcW w:w="4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131.38 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117.47 </w:t>
            </w:r>
          </w:p>
        </w:tc>
        <w:tc>
          <w:tcPr>
            <w:tcW w:w="6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112.52 </w:t>
            </w:r>
          </w:p>
        </w:tc>
        <w:tc>
          <w:tcPr>
            <w:tcW w:w="4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July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130.03 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117.47 </w:t>
            </w:r>
          </w:p>
        </w:tc>
        <w:tc>
          <w:tcPr>
            <w:tcW w:w="6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(1)This table represents the quarterly trend of our overcollateralization ratio, however, the CLO determination dates are monthly, and we were in compliance with this test for all periods presented.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ratio will fluctuate based on the performance of the underlying assets, transfers of assets into the CLOs prior to the expiration of their respective replenishment dates, purchase or disposal of other investments, and loan payoffs. No payment due under the junior subordinated indentures may be paid if there is a default under any senior debt and the senior lender has sent notice to the trustee. The junior subordinated indentures are also cross-defaulted with each other.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11 — Allowance for Loss-Sharing Obligations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allowance for loss-sharing obligations related to the Fannie Mae DUS program is as follows ($ in thousands):</w:t>
      </w:r>
    </w:p>
    <w:tbl>
      <w:tblPr>
        <w:tblW w:w="9479" w:type="dxa"/>
        <w:jc w:val="left"/>
        <w:tblInd w:w="0" w:type="dxa"/>
        <w:tblLayout w:type="fixed"/>
        <w:tblCellMar>
          <w:top w:w="28" w:type="dxa"/>
          <w:left w:w="28" w:type="dxa"/>
          <w:bottom w:w="28" w:type="dxa"/>
          <w:right w:w="28" w:type="dxa"/>
        </w:tblCellMar>
      </w:tblPr>
      <w:tblGrid>
        <w:gridCol w:w="1478"/>
        <w:gridCol w:w="1297"/>
        <w:gridCol w:w="1304"/>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106,773 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97,579 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83,150 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loss sharing (net of reversals)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 and advances, net of reimbursements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89,757 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When a loan is sold under the Fannie Mae DUS program, we undertake an obligation to partially guarantee the performance of the loan. A liability is recognized for the fair value of the guarantee obligation undertaken for the non-contingent aspect of the guarantee and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200" w:after="283"/>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removed only upon either the expiration or settlement of the guarantee. At June 30, 2026 and December 31, 2025, we had $36.6 million and $35.7 million, respectively, of guarantee obligations included in the allowance for loss-sharing obligations.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to and separately from the fair value of the guarantee, we estimate our allowance for loss-sharing under CECL over the contractual period in which we are exposed to credit risk. The general reserve related to loss-sharing was based on a collective pooling basis with similar risk characteristics, a reasonable and supportable forecast and a reversion period based on our average historical losses through the remaining contractual term of the portfolio. In instances where payment under the loss-sharing obligations of a loan is determined to be probable and estimable (as the loan is probable of, or is, in foreclosure), we record a liability for the estimated loss-sharing specific reserve.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When we settle a loss under the DUS loss-sharing model, the net loss is charged-off against the previously recorded loss-sharing obligation. The settled loss is often net of any previously unreimbursed advanced principal and interest payments in accordance with the DUS program, which are reflected as reductions to the proceeds needed to settle losses. At June 30, 2026 and December 31, 2025, we had outstanding advances of $2.6 million and $7.3 million, respectively, which were netted against the allowance for loss-sharing obligations.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2026 and December 31, 2025, our allowance for loss-sharing obligations, associated with expected losses under CECL, was $82.3 million and $61.9 million, respectively, and represented 0.34% and 0.26%, respectively, of our Fannie Mae servicing portfolio.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At June 30, 2026 and December 31, 2025, the maximum quantifiable liability associated with our guarantees under the Fannie Mae DUS agreement was $4.69 billion and $4.60 billion, respectively. The maximum quantifiable liability is not representative of the actual loss we would incur. We would be liable for this amount only if all of the loans we service for Fannie Mae, for which we retain some risk of loss, were to default and all of the collateral underlying these loans was determined to be without value at the time of settlement.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12 — Derivative Financial Instruments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enter into derivative financial instruments to manage exposures that arise from business activities resulting in the receipt or payment of future known and uncertain cash amounts, the value of which are determined by interest rates and credit risk. We do not use these derivatives for speculative purposes, but are instead using them to manage our interest rate and credit risk exposure.</w:t>
      </w:r>
    </w:p>
    <w:p>
      <w:pPr>
        <w:pStyle w:val="TextBody"/>
        <w:bidi w:val="0"/>
        <w:spacing w:lineRule="auto" w:line="288" w:before="200" w:after="283"/>
        <w:jc w:val="left"/>
        <w:rPr/>
      </w:pPr>
      <w:r>
        <w:rPr>
          <w:rFonts w:ascii="Times New Roman;serif" w:hAnsi="Times New Roman;serif"/>
          <w:b/>
          <w:i/>
          <w:color w:val="000000"/>
          <w:sz w:val="20"/>
        </w:rPr>
        <w:t>Agency Rate Lock and Forward Sale Commitments.</w:t>
      </w:r>
      <w:r>
        <w:rPr>
          <w:color w:val="000000"/>
        </w:rPr>
        <w:t xml:space="preserve"> </w:t>
      </w:r>
      <w:r>
        <w:rPr>
          <w:rFonts w:ascii="Times New Roman;serif" w:hAnsi="Times New Roman;serif"/>
          <w:b w:val="false"/>
          <w:color w:val="000000"/>
          <w:sz w:val="20"/>
        </w:rPr>
        <w:t xml:space="preserve">We enter into contractual commitments to originate and sell mortgage loans at fixed prices with fixed expiration dates. The commitments become effective when the borrower “rate locks” a specified interest rate within time frames established by us. All potential borrowers are evaluated for creditworthiness prior to the extension of the commitment. Market risk arises if interest rates move adversely between the time of the rate lock by the borrower and the sale date of the loan to an investor. To mitigate the effect of the interest rate risk inherent in providing rate lock commitments to borrowers under the GSE programs, we enter into a forward sale commitment with the investor simultaneously with the rate lock commitment with the borrower. The forward sale contract locks in an interest rate and price for the sale of the loan. The terms of the contract with the investor and the rate lock with the borrower are matched in substantially all aspects, with the objective of eliminating interest rate risk to the extent practical. Sale commitments with the investors have an expiration date that is longer than our related commitments to the borrower to allow, among other things, for closing of the loan and processing of paperwork to deliver the loan into the sale commitment.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These commitments meet the definition of a derivative and are recorded at fair value, including the effects of interest rate movements which are reflected as a component of gain on derivative instruments, net in the consolidated statements of operations. The estimated fair value of rate lock commitments also includes the fair value of the expected net cash flows associated with the servicing of the loan which is recorded as income from MSRs in the consolidated statements of operations.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we recorded net gains of $0.5 million and net losses of $0.8 million, respectively, from changes in the fair value of these derivatives and income from MSRs of $12.1 million and $21.8 million, respectively. During the three and six months ended June 30, 2025, we recorded net gains of $1.4 million and $6.1 million, respectively, from changes in the fair value of these derivatives and income from MSRs of $10.9 million and $19.1 million, respectively. See Note 13 for details.</w:t>
      </w:r>
    </w:p>
    <w:p>
      <w:pPr>
        <w:pStyle w:val="TextBody"/>
        <w:bidi w:val="0"/>
        <w:spacing w:lineRule="auto" w:line="288" w:before="240" w:after="283"/>
        <w:jc w:val="left"/>
        <w:rPr/>
      </w:pPr>
      <w:r>
        <w:rPr>
          <w:rFonts w:ascii="Times New Roman;serif" w:hAnsi="Times New Roman;serif"/>
          <w:b/>
          <w:i/>
          <w:color w:val="000000"/>
          <w:sz w:val="20"/>
        </w:rPr>
        <w:t xml:space="preserve">Treasury Futures and Credit Default Swaps. </w:t>
      </w:r>
      <w:r>
        <w:rPr>
          <w:rFonts w:ascii="Times New Roman;serif" w:hAnsi="Times New Roman;serif"/>
          <w:b w:val="false"/>
          <w:color w:val="000000"/>
          <w:sz w:val="20"/>
        </w:rPr>
        <w:t xml:space="preserve">We enter into over-the-counter treasury futures and credit default swaps to hedge our interest rate and credit risk exposure inherent in (1) our held-for-sale Agency Business Private Label loans from the time the loans are rate locked until sale or securitization, and (2) our Agency Business SFR – fixed rate loans from the time the loans are originated until the time they can be financed with match term fixed rate securitized debt. Our treasury futures typically have a three-month maturity and are tied to the five-year and ten-year treasury rates. Our credit default swaps typically have a five-year maturity, are tied to the credit spreads of the underlying bond issuers and we typically hold our position until we price our Private Label loan securitizations. These instruments do not meet the criteria for hedge accounting, are cleared by a central clearing house and variation margin payments made in cash are treated as a legal settlement of the derivative itself. Our agreements with the counterparties provide for bilateral collateral pledging based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200" w:after="283"/>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counterparties' market value. The counterparties have the right to re-pledge the collateral posted, but have the obligation to return the pledged collateral as the market value of the treasury futures change. Our policy is to record the asset and liability positions on a net basis.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At June 30, 2026 and December 31, 2025, we had $2.9 million and $1.6 million, respectively, included in others assets, which was comprised of cash posted as collateral of $3.3 million and $1.6 million, respectively, and net liability positions of $0.3 million and $0.1 million, respectively, from the fair value of our treasury futures.</w:t>
      </w:r>
    </w:p>
    <w:p>
      <w:pPr>
        <w:pStyle w:val="TextBody"/>
        <w:bidi w:val="0"/>
        <w:spacing w:lineRule="auto" w:line="288" w:before="200" w:after="283"/>
        <w:jc w:val="left"/>
        <w:rPr/>
      </w:pPr>
      <w:r>
        <w:rPr>
          <w:rFonts w:ascii="Times New Roman;serif" w:hAnsi="Times New Roman;serif"/>
          <w:b w:val="false"/>
          <w:color w:val="000000"/>
          <w:sz w:val="20"/>
        </w:rPr>
        <w:t>During the three months ended June 30, 2026, we recorded realized gains of $0.9 million and unrealized losses of $0.3 million to our Agency Business, related to our swaps. During the six months ended June 30, 2026, we recorded realized gains of $1.7 million and unrealized losses of $0.3 million to our Agency Business, related to our swaps.</w:t>
      </w:r>
      <w:r>
        <w:rPr>
          <w:color w:val="000000"/>
        </w:rPr>
        <w:t xml:space="preserve"> </w:t>
      </w:r>
      <w:r>
        <w:rPr>
          <w:rFonts w:ascii="Times New Roman;serif" w:hAnsi="Times New Roman;serif"/>
          <w:b w:val="false"/>
          <w:color w:val="000000"/>
          <w:sz w:val="20"/>
        </w:rPr>
        <w:t xml:space="preserve">During the three months ended June 30, 2025, we recorded realized losses of $1.0 million and unrealized gains of $0.5 million to our Agency Business, related to swaps. During the six months ended June 30, 2025, we recorded realized losses of $0.5 million and unrealized losses of $1.2 million to our Agency Business, related to our swaps.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 summary of our non-qualifying derivative financial instruments in our Agency Business is as follows ($ in thousands):</w:t>
      </w:r>
    </w:p>
    <w:tbl>
      <w:tblPr>
        <w:tblW w:w="10205" w:type="dxa"/>
        <w:jc w:val="left"/>
        <w:tblInd w:w="0" w:type="dxa"/>
        <w:tblLayout w:type="fixed"/>
        <w:tblCellMar>
          <w:top w:w="28" w:type="dxa"/>
          <w:left w:w="28" w:type="dxa"/>
          <w:bottom w:w="28" w:type="dxa"/>
          <w:right w:w="28" w:type="dxa"/>
        </w:tblCellMar>
      </w:tblPr>
      <w:tblGrid>
        <w:gridCol w:w="736"/>
        <w:gridCol w:w="647"/>
        <w:gridCol w:w="650"/>
        <w:gridCol w:w="109"/>
        <w:gridCol w:w="109"/>
        <w:gridCol w:w="109"/>
        <w:gridCol w:w="185"/>
        <w:gridCol w:w="185"/>
        <w:gridCol w:w="186"/>
        <w:gridCol w:w="109"/>
        <w:gridCol w:w="109"/>
        <w:gridCol w:w="109"/>
        <w:gridCol w:w="218"/>
        <w:gridCol w:w="856"/>
        <w:gridCol w:w="112"/>
        <w:gridCol w:w="109"/>
        <w:gridCol w:w="109"/>
        <w:gridCol w:w="109"/>
        <w:gridCol w:w="695"/>
        <w:gridCol w:w="664"/>
        <w:gridCol w:w="667"/>
        <w:gridCol w:w="109"/>
        <w:gridCol w:w="109"/>
        <w:gridCol w:w="109"/>
        <w:gridCol w:w="282"/>
        <w:gridCol w:w="826"/>
        <w:gridCol w:w="145"/>
        <w:gridCol w:w="109"/>
        <w:gridCol w:w="109"/>
        <w:gridCol w:w="109"/>
        <w:gridCol w:w="304"/>
        <w:gridCol w:w="984"/>
        <w:gridCol w:w="228"/>
      </w:tblGrid>
      <w:tr>
        <w:trPr/>
        <w:tc>
          <w:tcPr>
            <w:tcW w:w="73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0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Notional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Derivative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Derivative Liabilities</w:t>
            </w:r>
          </w:p>
        </w:tc>
      </w:tr>
      <w:tr>
        <w:trPr/>
        <w:tc>
          <w:tcPr>
            <w:tcW w:w="203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Rate lock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191,041 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Other assets/other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Forward sale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488,782 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Other assets/other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(1,894)</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735,723 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1,594 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(2,637)</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Rate lock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29,621 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Other assets/other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Forward sale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357,432 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Other assets/other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448,753 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200" w:after="283"/>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13 — Fair Value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Fair value estimates are dependent upon subjective assumptions and involve significant uncertainties resulting in variability in estimates with changes in assumptions. The following table summarizes the principal amounts, carrying values and the estimated fair values of our financial instruments ($ in thousands):</w:t>
      </w:r>
    </w:p>
    <w:tbl>
      <w:tblPr>
        <w:tblW w:w="11587" w:type="dxa"/>
        <w:jc w:val="left"/>
        <w:tblInd w:w="0" w:type="dxa"/>
        <w:tblLayout w:type="fixed"/>
        <w:tblCellMar>
          <w:top w:w="28" w:type="dxa"/>
          <w:left w:w="28" w:type="dxa"/>
          <w:bottom w:w="28" w:type="dxa"/>
          <w:right w:w="28" w:type="dxa"/>
        </w:tblCellMar>
      </w:tblPr>
      <w:tblGrid>
        <w:gridCol w:w="907"/>
        <w:gridCol w:w="296"/>
        <w:gridCol w:w="298"/>
        <w:gridCol w:w="211"/>
        <w:gridCol w:w="1081"/>
        <w:gridCol w:w="109"/>
        <w:gridCol w:w="109"/>
        <w:gridCol w:w="109"/>
        <w:gridCol w:w="109"/>
        <w:gridCol w:w="211"/>
        <w:gridCol w:w="1081"/>
        <w:gridCol w:w="109"/>
        <w:gridCol w:w="109"/>
        <w:gridCol w:w="109"/>
        <w:gridCol w:w="109"/>
        <w:gridCol w:w="211"/>
        <w:gridCol w:w="1081"/>
        <w:gridCol w:w="109"/>
        <w:gridCol w:w="109"/>
        <w:gridCol w:w="109"/>
        <w:gridCol w:w="109"/>
        <w:gridCol w:w="211"/>
        <w:gridCol w:w="1081"/>
        <w:gridCol w:w="109"/>
        <w:gridCol w:w="109"/>
        <w:gridCol w:w="109"/>
        <w:gridCol w:w="109"/>
        <w:gridCol w:w="211"/>
        <w:gridCol w:w="1081"/>
        <w:gridCol w:w="109"/>
        <w:gridCol w:w="109"/>
        <w:gridCol w:w="109"/>
        <w:gridCol w:w="109"/>
        <w:gridCol w:w="211"/>
        <w:gridCol w:w="1081"/>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Principal /</w:t>
              <w:b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Principal /</w:t>
              <w:b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Estimated</w:t>
              <w:br/>
              <w:t>Fair Value</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and investments, net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12,107,031 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11,915,216 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11,916,632 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12,113,107 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11,934,248 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11,964,280 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held-for-sale,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mortgage servicing rights, net</w:t>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474,767 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held-to-maturity,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150,147 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and repurchase facilities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5,821,983 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5,812,258 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5,800,728 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5,161,707 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5,149,651 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5,143,472 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Securitized debt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2,992,050 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2,972,246 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2,999,104 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3,485,786 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3,468,258 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3,487,773 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1,857,769 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2,029,078 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2,009,938 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Junior subordinated notes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111,992 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 real estate owned</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221,893 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Assets and liabilities disclosed at fair value are categorized based upon the level of judgment associated with the inputs used to measure their fair value. Determining which category an asset or liability falls within the hierarchy requires judgment and we evaluate our hierarchy disclosures each quarter. Hierarchical levels directly related to the amount of subjectivity associated with the inputs to fair valuation of these assets and liabilities are as follows: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Level 1—Inputs are unadjusted and quoted prices exist in active markets for identical assets or liabilities, such as government, agency and equity securities.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Level 2—Inputs (other than quoted prices included in Level 1) are observable for the asset or liability through correlation with market data. Level 2 inputs may include quoted market prices for a similar asset or liability, interest rates and credit risk. Examples include non-government securities, certain mortgage and asset-backed securities, certain corporate debt and certain derivative instruments.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Level 3—Inputs reflect our best estimate of what market participants would use in pricing the asset or liability and are based on significant unobservable inputs that require a considerable amount of judgment and assumptions. Examples include certain mortgage and asset-backed securities, certain corporate debt and certain derivative instruments.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description of the valuation techniques used to measure fair value and the general classification of these instruments pursuant to the fair value hierarchy.</w:t>
      </w:r>
    </w:p>
    <w:p>
      <w:pPr>
        <w:pStyle w:val="TextBody"/>
        <w:bidi w:val="0"/>
        <w:spacing w:lineRule="auto" w:line="288" w:before="200" w:after="283"/>
        <w:jc w:val="left"/>
        <w:rPr/>
      </w:pPr>
      <w:r>
        <w:rPr>
          <w:rFonts w:ascii="Times New Roman;serif" w:hAnsi="Times New Roman;serif"/>
          <w:b/>
          <w:i/>
          <w:color w:val="000000"/>
          <w:sz w:val="20"/>
        </w:rPr>
        <w:t>Loans and investments, net.</w:t>
      </w:r>
      <w:r>
        <w:rPr>
          <w:color w:val="000000"/>
        </w:rPr>
        <w:t xml:space="preserve"> </w:t>
      </w:r>
      <w:r>
        <w:rPr>
          <w:rFonts w:ascii="Times New Roman;serif" w:hAnsi="Times New Roman;serif"/>
          <w:b w:val="false"/>
          <w:color w:val="000000"/>
          <w:sz w:val="20"/>
        </w:rPr>
        <w:t>Fair values of loans and investments that are not impaired are estimated using inputs based on direct capitalization rate and discounted cash flow methodology using discount rates, which, in our opinion, best reflect current market interest rates that would be offered for loans with similar characteristics and credit quality (Level 3). Fair values of impaired loans and investments are estimated using inputs that require significant judgments, which include assumptions regarding discount rates, capitalization rates, creditworthiness of major tenants, occupancy rates, availability of financing, exit plans and other factors (Level 3).</w:t>
      </w:r>
    </w:p>
    <w:p>
      <w:pPr>
        <w:pStyle w:val="TextBody"/>
        <w:bidi w:val="0"/>
        <w:spacing w:lineRule="auto" w:line="288" w:before="200" w:after="283"/>
        <w:jc w:val="left"/>
        <w:rPr/>
      </w:pPr>
      <w:r>
        <w:rPr>
          <w:rFonts w:ascii="Times New Roman;serif" w:hAnsi="Times New Roman;serif"/>
          <w:b/>
          <w:i/>
          <w:color w:val="000000"/>
          <w:sz w:val="20"/>
        </w:rPr>
        <w:t>Loans held-for-sale, net.</w:t>
      </w:r>
      <w:r>
        <w:rPr>
          <w:color w:val="000000"/>
        </w:rPr>
        <w:t xml:space="preserve"> </w:t>
      </w:r>
      <w:r>
        <w:rPr>
          <w:rFonts w:ascii="Times New Roman;serif" w:hAnsi="Times New Roman;serif"/>
          <w:b w:val="false"/>
          <w:color w:val="000000"/>
          <w:sz w:val="20"/>
        </w:rPr>
        <w:t>Consists of originated loans that are generally expected to be transferred or sold within 60 days to 180 days of loan funding, and are valued using pricing models that incorporate observable inputs from current market assumptions or a hypothetical securitization model utilizing observable market data from recent securitization spreads and observable pricing of loans with similar characteristics (Level 2). Fair value includes the fair value allocated to the associated future MSRs and is calculated pursuant to the valuation techniques described below for capitalized mortgage servicing rights, net (Level 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200" w:after="283"/>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200" w:after="283"/>
        <w:jc w:val="left"/>
        <w:rPr/>
      </w:pPr>
      <w:r>
        <w:rPr>
          <w:rFonts w:ascii="Times New Roman;serif" w:hAnsi="Times New Roman;serif"/>
          <w:b/>
          <w:i/>
          <w:color w:val="000000"/>
          <w:sz w:val="20"/>
        </w:rPr>
        <w:t>Capitalized mortgage servicing rights, net.</w:t>
      </w:r>
      <w:r>
        <w:rPr>
          <w:color w:val="000000"/>
        </w:rPr>
        <w:t xml:space="preserve"> </w:t>
      </w:r>
      <w:r>
        <w:rPr>
          <w:rFonts w:ascii="Times New Roman;serif" w:hAnsi="Times New Roman;serif"/>
          <w:b w:val="false"/>
          <w:color w:val="000000"/>
          <w:sz w:val="20"/>
        </w:rPr>
        <w:t>Fair values are estimated using inputs based on discounted future net cash flow methodology (Level 3). MSRs are initially recorded at fair value and are carried at amortized cost. The fair value of MSRs is estimated using a process that involves the use of independent third-party valuation experts, supported by commercially available discounted cash flow models and analysis of current market data. The key inputs used in estimating fair value include the discount rate and contractually specified servicing fees, and to a lesser extent the prepayment speed of the underlying loans, annual per loan cost to service loans, delinquency rates, late charges and other economic factors.</w:t>
      </w:r>
    </w:p>
    <w:p>
      <w:pPr>
        <w:pStyle w:val="TextBody"/>
        <w:bidi w:val="0"/>
        <w:spacing w:lineRule="auto" w:line="288" w:before="200" w:after="283"/>
        <w:jc w:val="left"/>
        <w:rPr/>
      </w:pPr>
      <w:r>
        <w:rPr>
          <w:rFonts w:ascii="Times New Roman;serif" w:hAnsi="Times New Roman;serif"/>
          <w:b/>
          <w:i/>
          <w:color w:val="000000"/>
          <w:sz w:val="20"/>
        </w:rPr>
        <w:t>Securities held-to-maturity, net.</w:t>
      </w:r>
      <w:r>
        <w:rPr>
          <w:color w:val="000000"/>
        </w:rPr>
        <w:t xml:space="preserve"> </w:t>
      </w:r>
      <w:r>
        <w:rPr>
          <w:rFonts w:ascii="Times New Roman;serif" w:hAnsi="Times New Roman;serif"/>
          <w:b w:val="false"/>
          <w:color w:val="000000"/>
          <w:sz w:val="20"/>
        </w:rPr>
        <w:t>Fair values are approximated using inputs based on current market quotes received from financial sources that trade such securities and are based on prevailing market data and, in some cases, are derived from third-party proprietary models based on well recognized financial principles and reasonable estimates about relevant future market conditions (Level 3).</w:t>
      </w:r>
    </w:p>
    <w:p>
      <w:pPr>
        <w:pStyle w:val="TextBody"/>
        <w:bidi w:val="0"/>
        <w:spacing w:lineRule="auto" w:line="288" w:before="200" w:after="283"/>
        <w:jc w:val="left"/>
        <w:rPr/>
      </w:pPr>
      <w:r>
        <w:rPr>
          <w:rFonts w:ascii="Times New Roman;serif" w:hAnsi="Times New Roman;serif"/>
          <w:b/>
          <w:i/>
          <w:color w:val="000000"/>
          <w:sz w:val="20"/>
        </w:rPr>
        <w:t>Derivative financial instruments.</w:t>
      </w:r>
      <w:r>
        <w:rPr>
          <w:color w:val="000000"/>
        </w:rPr>
        <w:t xml:space="preserve"> </w:t>
      </w:r>
      <w:r>
        <w:rPr>
          <w:rFonts w:ascii="Times New Roman;serif" w:hAnsi="Times New Roman;serif"/>
          <w:b w:val="false"/>
          <w:color w:val="000000"/>
          <w:sz w:val="20"/>
        </w:rPr>
        <w:t>Fair values of rate lock and forward sale commitments are estimated using valuation techniques, which include internally-developed models based on changes in the U.S. Treasury rate and other observable market data (Level 2). The fair value of rate lock commitments includes the fair value of the expected net cash flows associated with the servicing of the loans, see capitalized mortgage servicing rights, net above for details on the applicable valuation technique (Level 3). We also consider the impact of counterparty non-performance risk when measuring the fair value of these derivatives.</w:t>
      </w:r>
    </w:p>
    <w:p>
      <w:pPr>
        <w:pStyle w:val="TextBody"/>
        <w:bidi w:val="0"/>
        <w:spacing w:lineRule="auto" w:line="288" w:before="200" w:after="283"/>
        <w:jc w:val="left"/>
        <w:rPr/>
      </w:pPr>
      <w:r>
        <w:rPr>
          <w:rFonts w:ascii="Times New Roman;serif" w:hAnsi="Times New Roman;serif"/>
          <w:b/>
          <w:i/>
          <w:color w:val="000000"/>
          <w:sz w:val="20"/>
        </w:rPr>
        <w:t>Credit facilities, repurchase facilities and notes payable - real estate owned.</w:t>
      </w:r>
      <w:r>
        <w:rPr>
          <w:color w:val="000000"/>
        </w:rPr>
        <w:t xml:space="preserve"> </w:t>
      </w:r>
      <w:r>
        <w:rPr>
          <w:rFonts w:ascii="Times New Roman;serif" w:hAnsi="Times New Roman;serif"/>
          <w:b w:val="false"/>
          <w:color w:val="000000"/>
          <w:sz w:val="20"/>
        </w:rPr>
        <w:t>Fair values for credit and repurchase facilities and notes payable - real estate owned of the Structured Business are estimated using discounted cash flow methodology, using discount rates, which, in our opinion, best reflect current market interest rates for financing with similar characteristics and credit quality (Level 3). The majority of our credit and repurchase facilities for the Agency Business bear interest at rates that are similar to those available in the market currently and fair values are estimated using Level 2 inputs. For these facilities, the fair values approximate their carrying values.</w:t>
      </w:r>
    </w:p>
    <w:p>
      <w:pPr>
        <w:pStyle w:val="TextBody"/>
        <w:bidi w:val="0"/>
        <w:spacing w:lineRule="auto" w:line="288" w:before="200" w:after="283"/>
        <w:jc w:val="left"/>
        <w:rPr/>
      </w:pPr>
      <w:r>
        <w:rPr>
          <w:rFonts w:ascii="Times New Roman;serif" w:hAnsi="Times New Roman;serif"/>
          <w:b/>
          <w:i/>
          <w:color w:val="000000"/>
          <w:sz w:val="20"/>
        </w:rPr>
        <w:t>Securitized debt and junior subordinated notes.</w:t>
      </w:r>
      <w:r>
        <w:rPr>
          <w:color w:val="000000"/>
        </w:rPr>
        <w:t xml:space="preserve"> </w:t>
      </w:r>
      <w:r>
        <w:rPr>
          <w:rFonts w:ascii="Times New Roman;serif" w:hAnsi="Times New Roman;serif"/>
          <w:b w:val="false"/>
          <w:color w:val="000000"/>
          <w:sz w:val="20"/>
        </w:rPr>
        <w:t>Fair values are estimated based on broker quotations, representing the discounted expected future cash flows at a yield that reflects current market interest rates and credit spreads (Level 3).</w:t>
      </w:r>
    </w:p>
    <w:p>
      <w:pPr>
        <w:pStyle w:val="TextBody"/>
        <w:bidi w:val="0"/>
        <w:spacing w:lineRule="auto" w:line="288" w:before="200" w:after="283"/>
        <w:jc w:val="left"/>
        <w:rPr/>
      </w:pPr>
      <w:r>
        <w:rPr>
          <w:rFonts w:ascii="Times New Roman;serif" w:hAnsi="Times New Roman;serif"/>
          <w:b/>
          <w:i/>
          <w:color w:val="000000"/>
          <w:sz w:val="20"/>
        </w:rPr>
        <w:t>Senior unsecured notes.</w:t>
      </w:r>
      <w:r>
        <w:rPr>
          <w:color w:val="000000"/>
        </w:rPr>
        <w:t xml:space="preserve"> </w:t>
      </w:r>
      <w:r>
        <w:rPr>
          <w:rFonts w:ascii="Times New Roman;serif" w:hAnsi="Times New Roman;serif"/>
          <w:b w:val="false"/>
          <w:color w:val="000000"/>
          <w:sz w:val="20"/>
        </w:rPr>
        <w:t>Fair values are estimated at current market quotes received from active markets when available (Level 1). If quotes from active markets are unavailable, then the fair values are estimated utilizing current market quotes received from inactive markets (Level 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measure certain financial assets and financial liabilities at fair value on a recurring basis. The fair values of these financial assets and liabilities are determined using the following input levels at June 30, 2026 ($ in thousands):</w:t>
      </w:r>
    </w:p>
    <w:tbl>
      <w:tblPr>
        <w:tblW w:w="9638" w:type="dxa"/>
        <w:jc w:val="left"/>
        <w:tblInd w:w="0" w:type="dxa"/>
        <w:tblLayout w:type="fixed"/>
        <w:tblCellMar>
          <w:top w:w="28" w:type="dxa"/>
          <w:left w:w="28" w:type="dxa"/>
          <w:bottom w:w="28" w:type="dxa"/>
          <w:right w:w="28" w:type="dxa"/>
        </w:tblCellMar>
      </w:tblPr>
      <w:tblGrid>
        <w:gridCol w:w="988"/>
        <w:gridCol w:w="867"/>
        <w:gridCol w:w="874"/>
        <w:gridCol w:w="280"/>
        <w:gridCol w:w="820"/>
        <w:gridCol w:w="145"/>
        <w:gridCol w:w="109"/>
        <w:gridCol w:w="109"/>
        <w:gridCol w:w="109"/>
        <w:gridCol w:w="211"/>
        <w:gridCol w:w="616"/>
        <w:gridCol w:w="109"/>
        <w:gridCol w:w="109"/>
        <w:gridCol w:w="109"/>
        <w:gridCol w:w="109"/>
        <w:gridCol w:w="273"/>
        <w:gridCol w:w="526"/>
        <w:gridCol w:w="141"/>
        <w:gridCol w:w="141"/>
        <w:gridCol w:w="141"/>
        <w:gridCol w:w="141"/>
        <w:gridCol w:w="273"/>
        <w:gridCol w:w="798"/>
        <w:gridCol w:w="141"/>
        <w:gridCol w:w="141"/>
        <w:gridCol w:w="141"/>
        <w:gridCol w:w="141"/>
        <w:gridCol w:w="273"/>
        <w:gridCol w:w="604"/>
        <w:gridCol w:w="199"/>
      </w:tblGrid>
      <w:tr>
        <w:trPr/>
        <w:tc>
          <w:tcPr>
            <w:tcW w:w="988"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Measurements Using Fair Value Hierarchy</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instruments</w:t>
            </w:r>
          </w:p>
        </w:tc>
        <w:tc>
          <w:tcPr>
            <w:tcW w:w="2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instruments</w:t>
            </w:r>
          </w:p>
        </w:tc>
        <w:tc>
          <w:tcPr>
            <w:tcW w:w="2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measure certain financial and non-financial assets at fair value on a nonrecurring basis. The fair values of these financial and non-financial assets, if applicable, were determined using the following input levels at June 30, 2026 ($ in thousands):</w:t>
      </w:r>
    </w:p>
    <w:tbl>
      <w:tblPr>
        <w:tblW w:w="9955" w:type="dxa"/>
        <w:jc w:val="left"/>
        <w:tblInd w:w="0" w:type="dxa"/>
        <w:tblLayout w:type="fixed"/>
        <w:tblCellMar>
          <w:top w:w="28" w:type="dxa"/>
          <w:left w:w="28" w:type="dxa"/>
          <w:bottom w:w="28" w:type="dxa"/>
          <w:right w:w="28" w:type="dxa"/>
        </w:tblCellMar>
      </w:tblPr>
      <w:tblGrid>
        <w:gridCol w:w="916"/>
        <w:gridCol w:w="805"/>
        <w:gridCol w:w="813"/>
        <w:gridCol w:w="284"/>
        <w:gridCol w:w="1114"/>
        <w:gridCol w:w="147"/>
        <w:gridCol w:w="109"/>
        <w:gridCol w:w="109"/>
        <w:gridCol w:w="109"/>
        <w:gridCol w:w="211"/>
        <w:gridCol w:w="826"/>
        <w:gridCol w:w="109"/>
        <w:gridCol w:w="109"/>
        <w:gridCol w:w="109"/>
        <w:gridCol w:w="109"/>
        <w:gridCol w:w="238"/>
        <w:gridCol w:w="458"/>
        <w:gridCol w:w="123"/>
        <w:gridCol w:w="123"/>
        <w:gridCol w:w="123"/>
        <w:gridCol w:w="123"/>
        <w:gridCol w:w="238"/>
        <w:gridCol w:w="814"/>
        <w:gridCol w:w="123"/>
        <w:gridCol w:w="123"/>
        <w:gridCol w:w="123"/>
        <w:gridCol w:w="123"/>
        <w:gridCol w:w="238"/>
        <w:gridCol w:w="933"/>
        <w:gridCol w:w="173"/>
      </w:tblGrid>
      <w:tr>
        <w:trPr/>
        <w:tc>
          <w:tcPr>
            <w:tcW w:w="91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6"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Fair Value Measurements Using Fair Value Hierarchy</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Impaired loans, net</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held-for-investment (1)</w:t>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399,189 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399,189 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held-for-sale (2)</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12,937 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12,937 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412,126 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412,126 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12,937 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399,189 </w:t>
            </w:r>
          </w:p>
        </w:tc>
        <w:tc>
          <w:tcPr>
            <w:tcW w:w="1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(1)We had an allowance for credit losses of $46.5 million relating to 19 impaired loans with an aggregate carrying value, before loan loss reserves, of $445.7 million at June 30, 2026. The fair values of these impaired loans are based on the value of the underlying collateral.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200" w:after="283"/>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(2)We have an impairment loss of $1.0 million related to 3 loans held-for-sale with an aggregate carrying value, before unrealized impairment losses, of $13.9 million.</w:t>
      </w:r>
    </w:p>
    <w:p>
      <w:pPr>
        <w:pStyle w:val="TextBody"/>
        <w:bidi w:val="0"/>
        <w:spacing w:lineRule="auto" w:line="288" w:before="200" w:after="283"/>
        <w:jc w:val="left"/>
        <w:rPr/>
      </w:pPr>
      <w:r>
        <w:rPr>
          <w:rFonts w:ascii="Times New Roman;serif" w:hAnsi="Times New Roman;serif"/>
          <w:b/>
          <w:i/>
          <w:color w:val="000000"/>
          <w:sz w:val="20"/>
        </w:rPr>
        <w:t>Loan impairment assessments.</w:t>
      </w:r>
      <w:r>
        <w:rPr>
          <w:color w:val="000000"/>
        </w:rPr>
        <w:t xml:space="preserve"> </w:t>
      </w:r>
      <w:r>
        <w:rPr>
          <w:rFonts w:ascii="Times New Roman;serif" w:hAnsi="Times New Roman;serif"/>
          <w:b w:val="false"/>
          <w:color w:val="000000"/>
          <w:sz w:val="20"/>
        </w:rPr>
        <w:t>Loans held-for-investment are intended to be held to maturity and, accordingly, are carried at cost, net of unamortized loan origination costs and fees, loan purchase discounts, and net of allowance for credit losses, when such loan or investment is deemed to be impaired. We consider a loan impaired when, based upon current information, it is probable that all amounts due for both principal and interest will not be collected according to the contractual terms of the loan agreement. We evaluate our loans to determine if the value of the underlying collateral securing the impaired loan is less than the net carrying value of the loan, which may result in an allowance, and corresponding charge to the provision for credit losses, or an impairment loss. These valuations require significant judgments, which include assumptions regarding capitalization and discount rates, revenue growth rates, creditworthiness of major tenants, occupancy rates, availability of financing, exit plan and other factors.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Loans held-for-sale are generally expected to be transferred or sold within 60 days to 180 days of loan origination and are reported at the lower of cost or market. We consider a loan classified as held-for-sale impaired if, based on current information, it is probable that we will sell the loan below par, or not be able to collect all principal and interest in accordance with the contractual terms of the loan agreement. These loans are valued using pricing models that incorporate observable inputs from current market assumptions or a hypothetical securitization model utilizing observable market data from recent securitization spreads and observable pricing of loans with similar characteristics.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tables above and below include all impaired loans, regardless of the period in which the impairment was recognized.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Quantitative information about Level 3 fair value measurements at June 30, 2026 is as follows ($ in thousands):</w:t>
      </w:r>
    </w:p>
    <w:tbl>
      <w:tblPr>
        <w:tblW w:w="10205" w:type="dxa"/>
        <w:jc w:val="left"/>
        <w:tblInd w:w="0" w:type="dxa"/>
        <w:tblLayout w:type="fixed"/>
        <w:tblCellMar>
          <w:top w:w="28" w:type="dxa"/>
          <w:left w:w="28" w:type="dxa"/>
          <w:bottom w:w="28" w:type="dxa"/>
          <w:right w:w="28" w:type="dxa"/>
        </w:tblCellMar>
      </w:tblPr>
      <w:tblGrid>
        <w:gridCol w:w="829"/>
        <w:gridCol w:w="612"/>
        <w:gridCol w:w="617"/>
        <w:gridCol w:w="211"/>
        <w:gridCol w:w="826"/>
        <w:gridCol w:w="109"/>
        <w:gridCol w:w="109"/>
        <w:gridCol w:w="109"/>
        <w:gridCol w:w="109"/>
        <w:gridCol w:w="579"/>
        <w:gridCol w:w="481"/>
        <w:gridCol w:w="483"/>
        <w:gridCol w:w="109"/>
        <w:gridCol w:w="109"/>
        <w:gridCol w:w="109"/>
        <w:gridCol w:w="486"/>
        <w:gridCol w:w="486"/>
        <w:gridCol w:w="487"/>
        <w:gridCol w:w="137"/>
        <w:gridCol w:w="137"/>
        <w:gridCol w:w="137"/>
        <w:gridCol w:w="382"/>
        <w:gridCol w:w="382"/>
        <w:gridCol w:w="383"/>
        <w:gridCol w:w="137"/>
        <w:gridCol w:w="137"/>
        <w:gridCol w:w="137"/>
        <w:gridCol w:w="399"/>
        <w:gridCol w:w="399"/>
        <w:gridCol w:w="578"/>
      </w:tblGrid>
      <w:tr>
        <w:trPr/>
        <w:tc>
          <w:tcPr>
            <w:tcW w:w="8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2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Valuation Techniques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4"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Significant Unobservable Inputs </w:t>
            </w:r>
          </w:p>
        </w:tc>
      </w:tr>
      <w:tr>
        <w:trPr/>
        <w:tc>
          <w:tcPr>
            <w:tcW w:w="20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Impaired loans: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Minimum / Maximum</w:t>
            </w:r>
          </w:p>
        </w:tc>
      </w:tr>
      <w:tr>
        <w:trPr/>
        <w:tc>
          <w:tcPr>
            <w:tcW w:w="20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Discounted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Capitalization rate</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5.95 %</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5.50 % - 7.50 %</w:t>
            </w:r>
          </w:p>
        </w:tc>
      </w:tr>
      <w:tr>
        <w:trPr/>
        <w:tc>
          <w:tcPr>
            <w:tcW w:w="2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Price quotes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385,181 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205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205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205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205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205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205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20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Sales comparative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Price per acre</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$165</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$165</w:t>
            </w:r>
          </w:p>
        </w:tc>
      </w:tr>
      <w:tr>
        <w:trPr/>
        <w:tc>
          <w:tcPr>
            <w:tcW w:w="2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Derivative financial instruments: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Rate lock commitments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Discounted cash 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W/A discount rate</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6.36 %</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0.00% - 9.00%</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derivative financial instruments using Level 3 inputs are outstanding for short periods of time (generally less than 60 days). A roll-forward of Level 3 derivative instruments is as follows ($ in thousands): </w:t>
      </w:r>
    </w:p>
    <w:tbl>
      <w:tblPr>
        <w:tblW w:w="8083" w:type="dxa"/>
        <w:jc w:val="left"/>
        <w:tblInd w:w="0" w:type="dxa"/>
        <w:tblLayout w:type="fixed"/>
        <w:tblCellMar>
          <w:top w:w="28" w:type="dxa"/>
          <w:left w:w="28" w:type="dxa"/>
          <w:bottom w:w="28" w:type="dxa"/>
          <w:right w:w="28" w:type="dxa"/>
        </w:tblCellMar>
      </w:tblPr>
      <w:tblGrid>
        <w:gridCol w:w="1153"/>
        <w:gridCol w:w="1012"/>
        <w:gridCol w:w="1015"/>
        <w:gridCol w:w="251"/>
        <w:gridCol w:w="557"/>
        <w:gridCol w:w="129"/>
        <w:gridCol w:w="129"/>
        <w:gridCol w:w="129"/>
        <w:gridCol w:w="129"/>
        <w:gridCol w:w="251"/>
        <w:gridCol w:w="557"/>
        <w:gridCol w:w="129"/>
        <w:gridCol w:w="125"/>
        <w:gridCol w:w="125"/>
        <w:gridCol w:w="125"/>
        <w:gridCol w:w="247"/>
        <w:gridCol w:w="548"/>
        <w:gridCol w:w="125"/>
        <w:gridCol w:w="125"/>
        <w:gridCol w:w="125"/>
        <w:gridCol w:w="125"/>
        <w:gridCol w:w="247"/>
        <w:gridCol w:w="548"/>
        <w:gridCol w:w="177"/>
      </w:tblGrid>
      <w:tr>
        <w:trPr/>
        <w:tc>
          <w:tcPr>
            <w:tcW w:w="115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Measurements Using Significant Unobservable Inputs</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 assets and liabilities, net</w:t>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(11,996)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(10,856)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(21,496)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(18,678)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gains recorded in earnings</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11,363 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10,547 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21,023 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18,678 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recorded in earnings</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25"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7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200" w:after="283"/>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fair value and other relevant information associated with our forward sales commitments and the estimated fair value of cash flows from servicing on loans held-for-sale are as follows ($ in thousands):</w:t>
      </w:r>
    </w:p>
    <w:tbl>
      <w:tblPr>
        <w:tblW w:w="10046" w:type="dxa"/>
        <w:jc w:val="left"/>
        <w:tblInd w:w="0" w:type="dxa"/>
        <w:tblLayout w:type="fixed"/>
        <w:tblCellMar>
          <w:top w:w="28" w:type="dxa"/>
          <w:left w:w="28" w:type="dxa"/>
          <w:bottom w:w="28" w:type="dxa"/>
          <w:right w:w="28" w:type="dxa"/>
        </w:tblCellMar>
      </w:tblPr>
      <w:tblGrid>
        <w:gridCol w:w="828"/>
        <w:gridCol w:w="728"/>
        <w:gridCol w:w="739"/>
        <w:gridCol w:w="109"/>
        <w:gridCol w:w="109"/>
        <w:gridCol w:w="109"/>
        <w:gridCol w:w="257"/>
        <w:gridCol w:w="1006"/>
        <w:gridCol w:w="132"/>
        <w:gridCol w:w="109"/>
        <w:gridCol w:w="109"/>
        <w:gridCol w:w="109"/>
        <w:gridCol w:w="291"/>
        <w:gridCol w:w="849"/>
        <w:gridCol w:w="150"/>
        <w:gridCol w:w="109"/>
        <w:gridCol w:w="109"/>
        <w:gridCol w:w="109"/>
        <w:gridCol w:w="109"/>
        <w:gridCol w:w="109"/>
        <w:gridCol w:w="489"/>
        <w:gridCol w:w="1431"/>
        <w:gridCol w:w="255"/>
        <w:gridCol w:w="109"/>
        <w:gridCol w:w="109"/>
        <w:gridCol w:w="109"/>
        <w:gridCol w:w="293"/>
        <w:gridCol w:w="857"/>
        <w:gridCol w:w="215"/>
      </w:tblGrid>
      <w:tr>
        <w:trPr/>
        <w:tc>
          <w:tcPr>
            <w:tcW w:w="8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Notional/</w:t>
              <w:b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of</w:t>
              <w:br/>
              <w:t>Servicing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Unrealized </w:t>
              <w:br/>
              <w:t>Impairment Recovery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Fair Value</w:t>
              <w:br/>
              <w:t>Adjustment</w:t>
            </w:r>
          </w:p>
        </w:tc>
      </w:tr>
      <w:tr>
        <w:trPr/>
        <w:tc>
          <w:tcPr>
            <w:tcW w:w="229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Rate lock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191,041 </w:t>
            </w:r>
          </w:p>
        </w:tc>
        <w:tc>
          <w:tcPr>
            <w:tcW w:w="13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5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21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Forward sale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488,782 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held-for-sale, net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378,247 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4,687 </w:t>
            </w:r>
          </w:p>
        </w:tc>
        <w:tc>
          <w:tcPr>
            <w:tcW w:w="1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5,689 </w:t>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(1)Loans held-for-sale, net are recorded at the lower of cost or market on an aggregate basis and includes fair value adjustments related to estimated cash flows from MSRs.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measure certain assets and liabilities for which fair value is only disclosed. The fair values of these assets and liabilities are determined using the following input levels at June 30, 2026 ($ in thousands):</w:t>
      </w:r>
    </w:p>
    <w:tbl>
      <w:tblPr>
        <w:tblW w:w="10205" w:type="dxa"/>
        <w:jc w:val="left"/>
        <w:tblInd w:w="0" w:type="dxa"/>
        <w:tblLayout w:type="fixed"/>
        <w:tblCellMar>
          <w:top w:w="28" w:type="dxa"/>
          <w:left w:w="28" w:type="dxa"/>
          <w:bottom w:w="28" w:type="dxa"/>
          <w:right w:w="28" w:type="dxa"/>
        </w:tblCellMar>
      </w:tblPr>
      <w:tblGrid>
        <w:gridCol w:w="1067"/>
        <w:gridCol w:w="654"/>
        <w:gridCol w:w="660"/>
        <w:gridCol w:w="211"/>
        <w:gridCol w:w="1081"/>
        <w:gridCol w:w="109"/>
        <w:gridCol w:w="109"/>
        <w:gridCol w:w="109"/>
        <w:gridCol w:w="109"/>
        <w:gridCol w:w="211"/>
        <w:gridCol w:w="1081"/>
        <w:gridCol w:w="109"/>
        <w:gridCol w:w="109"/>
        <w:gridCol w:w="109"/>
        <w:gridCol w:w="109"/>
        <w:gridCol w:w="333"/>
        <w:gridCol w:w="643"/>
        <w:gridCol w:w="109"/>
        <w:gridCol w:w="109"/>
        <w:gridCol w:w="109"/>
        <w:gridCol w:w="109"/>
        <w:gridCol w:w="213"/>
        <w:gridCol w:w="835"/>
        <w:gridCol w:w="109"/>
        <w:gridCol w:w="109"/>
        <w:gridCol w:w="109"/>
        <w:gridCol w:w="109"/>
        <w:gridCol w:w="213"/>
        <w:gridCol w:w="1093"/>
        <w:gridCol w:w="166"/>
      </w:tblGrid>
      <w:tr>
        <w:trPr/>
        <w:tc>
          <w:tcPr>
            <w:tcW w:w="106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Measurements Using Fair Value Hierarchy</w:t>
            </w:r>
          </w:p>
        </w:tc>
      </w:tr>
      <w:tr>
        <w:trPr/>
        <w:tc>
          <w:tcPr>
            <w:tcW w:w="2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and investments, net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11,915,216 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11,916,632 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11,916,632 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held-for-sale,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mortgage servicing rights,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462,029 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held-to-maturity,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150,321 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and repurchase facilities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5,812,258 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5,800,728 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5,441,451 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Securitized debt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2,972,246 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2,999,104 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2,999,104 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1,857,769 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Junior subordinated notes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113,551 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 real estate owned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269,131 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14 — Commitments and Contingencies</w:t>
      </w:r>
    </w:p>
    <w:p>
      <w:pPr>
        <w:pStyle w:val="TextBody"/>
        <w:bidi w:val="0"/>
        <w:spacing w:lineRule="auto" w:line="288" w:before="240" w:after="283"/>
        <w:jc w:val="left"/>
        <w:rPr/>
      </w:pPr>
      <w:r>
        <w:rPr>
          <w:rFonts w:ascii="Times New Roman;serif" w:hAnsi="Times New Roman;serif"/>
          <w:b/>
          <w:i/>
          <w:color w:val="000000"/>
          <w:sz w:val="20"/>
        </w:rPr>
        <w:t>Agency Business Commitments.</w:t>
      </w:r>
      <w:r>
        <w:rPr>
          <w:color w:val="000000"/>
        </w:rPr>
        <w:t xml:space="preserve"> </w:t>
      </w:r>
      <w:r>
        <w:rPr>
          <w:rFonts w:ascii="Times New Roman;serif" w:hAnsi="Times New Roman;serif"/>
          <w:b w:val="false"/>
          <w:color w:val="000000"/>
          <w:sz w:val="20"/>
        </w:rPr>
        <w:t xml:space="preserve">We must make certain representations and warranties concerning each loan we originate for the GSE or HUD programs. The representations and warranties relate to our practices in the origination and servicing of the loans, the accuracy of the information being provided by us and the conformity of the loans to the terms and conditions required by the GSEs and HUD. In the event of a breach of any representation or warranty, the GSEs or HUD could require us to repurchase a loan, even if the loan is not in default. Our obligation to repurchase the loan is independent of our risk-sharing obligations.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Agency Business is subject to supervision by certain regulatory agencies. Among other things, these agencies require us to meet certain minimum net worth, operational liquidity and restricted liquidity collateral requirements, and compliance with reporting requirements. Our adjusted net worth and liquidity required by the agencies for all periods presented exceeded these requirements.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At June 30, 2026, we were required to maintain at least $24.3 million of liquid assets in one of our subsidiaries to meet our operational liquidity requirements for Fannie Mae and we had operational liquidity in excess of this requirement.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generally required to share the risk of any losses associated with loans sold under the Fannie Mae DUS program and are required to secure this obligation by assigning restricted cash balances and/or a letter of credit to Fannie Mae. The amount of collateral required by Fannie Mae is a formulaic calculation at the loan level by a Fannie Mae assigned tier, which considers the loan balance, risk level of the loan, age of the loan and level of risk-sharing. Fannie Mae requires restricted liquidity for Tier 2 loans of 75 basis points, 15 basis points for Tier 3 loans and 5 basis points for Tier 4 loans, which is funded over a 48-month period that begins upon delivery of the loan to Fannie Mae. A significant portion of our Fannie Mae DUS serviced loans for which we have risk sharing are Tier 2 loans. At June 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200" w:after="283"/>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2026, the restricted liquidity requirement totaled $104.7 million and was satisfied with a $70.0 million letter of credit and cash issued to Fannie Mae.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At June 30, 2026, reserve requirements for the current Fannie Mae DUS loan portfolio will require us to fund $33.8 million in additional restricted liquidity over the next 48 months, assuming no further principal paydowns, prepayments, or defaults within our at-risk portfolio. Fannie Mae periodically reassesses these collateral requirements and may make changes to these requirements in the future. We generate sufficient cash flow from our operations to meet these capital standards and do not expect any changes to have a material impact on our future operations; however, future changes to collateral requirements may adversely impact our available cash.</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are subject to various capital requirements in connection with seller/servicer agreements that we have entered into with secondary market investors. Failure to maintain minimum capital requirements could result in our inability to originate and service loans for the respective investor and, therefore, could have a direct material effect on our consolidated financial statements. At June 30, 2026, we met all of Fannie Mae’s quarterly capital requirements and our Fannie Mae adjusted net worth was in excess of the required net worth. We are not subject to capital requirements on a quarterly basis for Ginnie Mae and FHA, as requirements for these investors are only required on an annual basis.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an approved designated seller/servicer under Freddie Mac’s SBL program, we are required to post collateral to ensure that we are able to meet certain purchase and loss obligations required by this program. Under the SBL program, we are required to post collateral equal to $5.0 million, which is satisfied with a $5.0 million letter of credit.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enter into contractual commitments with borrowers providing rate lock commitments while simultaneously entering into forward sale commitments with investors. These commitments are outstanding for short periods of time (generally less than 60 days) and are described in more detail in Note 12 and Note 13.</w:t>
      </w:r>
    </w:p>
    <w:p>
      <w:pPr>
        <w:pStyle w:val="TextBody"/>
        <w:bidi w:val="0"/>
        <w:spacing w:lineRule="auto" w:line="288" w:before="200" w:after="283"/>
        <w:jc w:val="left"/>
        <w:rPr/>
      </w:pPr>
      <w:r>
        <w:rPr>
          <w:rFonts w:ascii="Times New Roman;serif" w:hAnsi="Times New Roman;serif"/>
          <w:b/>
          <w:i/>
          <w:color w:val="000000"/>
          <w:sz w:val="20"/>
        </w:rPr>
        <w:t xml:space="preserve">Debt Obligations and Operating Leases. </w:t>
      </w:r>
      <w:r>
        <w:rPr>
          <w:rFonts w:ascii="Times New Roman;serif" w:hAnsi="Times New Roman;serif"/>
          <w:b w:val="false"/>
          <w:color w:val="000000"/>
          <w:sz w:val="20"/>
        </w:rPr>
        <w:t>At June 30, 2026, the maturities of our debt obligations and the minimum annual operating lease payments under leases with a term in excess of one year are as follows ($ in thousands):</w:t>
      </w:r>
    </w:p>
    <w:tbl>
      <w:tblPr>
        <w:tblW w:w="10205" w:type="dxa"/>
        <w:jc w:val="left"/>
        <w:tblInd w:w="0" w:type="dxa"/>
        <w:tblLayout w:type="fixed"/>
        <w:tblCellMar>
          <w:top w:w="28" w:type="dxa"/>
          <w:left w:w="28" w:type="dxa"/>
          <w:bottom w:w="28" w:type="dxa"/>
          <w:right w:w="28" w:type="dxa"/>
        </w:tblCellMar>
      </w:tblPr>
      <w:tblGrid>
        <w:gridCol w:w="1220"/>
        <w:gridCol w:w="1073"/>
        <w:gridCol w:w="1083"/>
        <w:gridCol w:w="109"/>
        <w:gridCol w:w="109"/>
        <w:gridCol w:w="109"/>
        <w:gridCol w:w="211"/>
        <w:gridCol w:w="1081"/>
        <w:gridCol w:w="109"/>
        <w:gridCol w:w="109"/>
        <w:gridCol w:w="109"/>
        <w:gridCol w:w="109"/>
        <w:gridCol w:w="608"/>
        <w:gridCol w:w="2077"/>
        <w:gridCol w:w="313"/>
        <w:gridCol w:w="109"/>
        <w:gridCol w:w="109"/>
        <w:gridCol w:w="109"/>
        <w:gridCol w:w="211"/>
        <w:gridCol w:w="1081"/>
        <w:gridCol w:w="157"/>
      </w:tblGrid>
      <w:tr>
        <w:trPr/>
        <w:tc>
          <w:tcPr>
            <w:tcW w:w="122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Debt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Minimum Annual Operating Lease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(six months ending December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1,780,992 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5,767 </w:t>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1,786,759 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5,084,559 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9,912 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5,094,471 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1,673,580 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9,226 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1,682,806 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1,881,957 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8,714 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1,890,671 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8,756 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547,111 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6,381 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4,543 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158,879 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11,113,779 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53,299 </w:t>
            </w:r>
          </w:p>
        </w:tc>
        <w:tc>
          <w:tcPr>
            <w:tcW w:w="3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11,167,078 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we recorded lease expense of $2.8 million and $5.7 million, respectively. During the three and six months ended June 30, 2025, we recorded lease expense of $2.7 million and $5.4 million, respectively. </w:t>
      </w:r>
    </w:p>
    <w:p>
      <w:pPr>
        <w:pStyle w:val="TextBody"/>
        <w:bidi w:val="0"/>
        <w:spacing w:lineRule="auto" w:line="288" w:before="200" w:after="283"/>
        <w:jc w:val="left"/>
        <w:rPr/>
      </w:pPr>
      <w:r>
        <w:rPr>
          <w:rFonts w:ascii="Times New Roman;serif" w:hAnsi="Times New Roman;serif"/>
          <w:b/>
          <w:i/>
          <w:color w:val="000000"/>
          <w:sz w:val="20"/>
        </w:rPr>
        <w:t>Unfunded Commitments.</w:t>
      </w:r>
      <w:r>
        <w:rPr>
          <w:color w:val="000000"/>
        </w:rPr>
        <w:t xml:space="preserve"> </w:t>
      </w:r>
      <w:r>
        <w:rPr>
          <w:rFonts w:ascii="Times New Roman;serif" w:hAnsi="Times New Roman;serif"/>
          <w:b w:val="false"/>
          <w:color w:val="000000"/>
          <w:sz w:val="20"/>
        </w:rPr>
        <w:t xml:space="preserve">In accordance with certain structured loans and investments, we have outstanding unfunded commitments of $1.53 billion at June 30, 2026 that we are obligated to fund as borrowers meet certain requirements. Specific requirements include, but are not limited to, property renovations, building construction and conversions based on criteria met by the borrower in accordance with the loan agreements. </w:t>
      </w:r>
    </w:p>
    <w:p>
      <w:pPr>
        <w:pStyle w:val="TextBody"/>
        <w:bidi w:val="0"/>
        <w:spacing w:lineRule="auto" w:line="268" w:before="200" w:after="283"/>
        <w:jc w:val="left"/>
        <w:rPr/>
      </w:pPr>
      <w:r>
        <w:rPr>
          <w:rFonts w:ascii="Times New Roman;serif" w:hAnsi="Times New Roman;serif"/>
          <w:b/>
          <w:i/>
          <w:color w:val="000000"/>
          <w:sz w:val="20"/>
        </w:rPr>
        <w:t>Litigation.</w:t>
      </w:r>
      <w:r>
        <w:rPr>
          <w:color w:val="000000"/>
        </w:rPr>
        <w:t xml:space="preserve"> </w:t>
      </w:r>
      <w:r>
        <w:rPr>
          <w:rFonts w:ascii="Times New Roman;serif" w:hAnsi="Times New Roman;serif"/>
          <w:b w:val="false"/>
          <w:color w:val="000000"/>
          <w:sz w:val="20"/>
        </w:rPr>
        <w:t>From time to time, we may become involved in legal proceedings arising in the ordinary course of our business. Except as set forth below under “Securities Class Action” and "Derivative Actions," we are not currently a party to any material legal proceedings, and we are not aware of any pending or threatened legal proceeding against us that we believe could have an adverse effect on our business, operating results or financial condition. Because the results of legal proceedings are inherently unpredictable and uncertain, we are currently unable to predict whether it will have a material adverse effect on our business, financial condition or results of operations.</w:t>
      </w:r>
    </w:p>
    <w:p>
      <w:pPr>
        <w:pStyle w:val="TextBody"/>
        <w:bidi w:val="0"/>
        <w:spacing w:lineRule="auto" w:line="26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Securities Class Action </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July 31, 2024, a purported shareholder filed a securities class action lawsuit against us and certain of our executive officers in the United States District Court for the Eastern District of New York (the “Court”), alleging violations of Sections 10(b) and 20(a) of the Exchange Act and Rule 10b-5 promulgated thereunder. The plaintiffs sought to represent a class of shareholders who purchased our shares of common stock between May 7, 2021 and July 11,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200" w:after="283"/>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5, 2024, the Court approved the motion appointing the lead plaintiffs and their counsel. </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An amended complaint was filed by the lead plaintiffs on January 21, 2025. The amended complaint alleged that we had made false and misleading statements and/or failed to disclose material information in connection with allegedly overriding internal controls, engaging in substandard lending practices and not complying with agency requirements. The plaintiffs sought damages in an unspecified amount, as well as attorneys’ fees and costs. On April 10, 2025, we served a motion to dismiss the case. On March 31, 2026, the Court granted the motion to dismiss in its entirety, dismissing the amended complaint. The plaintiffs were granted leave to amend the complaint within 30 days of the order dismissing the case but ultimately decided not to amend. On May 5, 2026, the Court dismissed the plaintiffs’ claims with prejudice and judgment was entered in favor of Defendants. The plaintiffs’ time to appeal has expired.</w:t>
      </w:r>
    </w:p>
    <w:p>
      <w:pPr>
        <w:pStyle w:val="TextBody"/>
        <w:bidi w:val="0"/>
        <w:spacing w:lineRule="auto" w:line="26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Derivative Actions</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26, 2025, a purported shareholder filed a verified shareholder derivative suit in the United States District Court for the District of Maryland, derivatively and on behalf of the Company, against certain officers and directors of the Board of Directors, asserting claims for breach of fiduciary duties, unjust enrichment, abuse of control, gross mismanagement, waste of corporate assets, violations of Section 14(a) of the Exchange Act, and contribution under the Exchange Act, arising from substantially the same facts and events as alleged in the above-mentioned Securities Class Action. The complaint sought unspecified damages, costs and expenses, as well as other relief. On March 17, 2025, another purported shareholder filed a substantially similar verified shareholder derivative complaint, and the derivative actions were consolidated as In re Arbor Realty Trust, Inc. Stockholder Derivative Litigation, No. 1:25-cv-00639. On April 28, 2025, the Court entered a joint stipulation and order to stay the action pending resolution of the motion to dismiss in the Securities Class Action. On June 12, 2026, the parties filed a joint stipulation to voluntarily dismiss this action without prejudice, which was subsequently entered by the Court on July 1,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April 18, 2025, another purported shareholder filed a substantially similar verified shareholder derivative complaint in the District Court for the Eastern District of New York. On May 20, 2025, the Court entered a joint stipulation and order to stay the action pending resolution of the motion to dismiss in the Securities Class Action. On April 14, 2026, the Court lifted the stay. The next day, the parties filed a joint letter to the Court, requesting that the Court reinstate the stay pursuant to its May 20, 2025 order. On April 15, 2026, the Court ordered the parties to file a joint status report by May 5, 2026, which the parties did. On May 5, 2026, the Court ordered the parties to file a joint status report by June 9, 2026. On June 9, 2026, the parties filed a joint stipulation to voluntarily dismiss this action without prejudice, which was subsequently entered by the Court on July 13, 2026. </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July 18, 2025, a purported shareholder filed a verified shareholder derivative complaint in the Circuit Court for the Baltimore City, Maryland, derivatively and on behalf of the Company, against certain officers and directors of the Board of Directors, asserting demand refusal and a claim for breach of fiduciary duty. On September 15, 2025, the Court entered a joint stipulation and order to stay the action pending resolution of the motion to dismiss in the Securities Class Action. On June 19, 2026, the court entered a joint stipulation and order to extend the stay until July 10, 2026. On July 10, 2026, the parties filed a joint stipulation to voluntarily dismiss this action without prejudice, which was subsequently entered by the Court on July 14, 2026. </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July 29, 2025, two purported shareholders filed a verified shareholder derivative complaint in the United States District Court for the Eastern District of New York, derivatively and on behalf of the Company, against certain officers and directors of the Board of Directors, asserting demand refusal and claims for violation of Section 14(a) of the Exchange Act, breach of fiduciary duty and unjust enrichment. On October 23, 2025, the Court granted a joint motion to change venue and transferred the action to the United States District Court for the District of Maryland. On November 14, 2025, the court entered a joint stipulation and order to stay the action pending resolution of the motion to dismiss in the Securities Class Action. On May 18, 2026, the court entered a joint stipulation and order to extend the stay until July 10, 2026. On July 10, 2026, the parties filed a joint stipulation to voluntarily dismiss this action without prejudice, which was subsequently entered by the Court on July 13, 2026. </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August 5, 2025, a purported shareholder filed a verified shareholder derivative complaint in the United States District Court for the Eastern District of New York, derivatively and on behalf of the Company, against certain officers and directors of the Board of Directors, asserting demand futility and claims for violation of Section 14(a) of the Exchange Act, breach of fiduciary duty, and unjust enrichment. On September 10, 2025, the Court entered a joint stipulation and order to stay the action pending resolution of the motion to dismiss in the Securities Class Action. On June 18, 2026, the parties filed a joint stipulation to voluntarily dismiss this action without prejudice, which was subsequently entered that same day. </w:t>
      </w:r>
    </w:p>
    <w:p>
      <w:pPr>
        <w:pStyle w:val="TextBody"/>
        <w:bidi w:val="0"/>
        <w:spacing w:lineRule="auto" w:line="268" w:before="200" w:after="283"/>
        <w:jc w:val="left"/>
        <w:rPr/>
      </w:pPr>
      <w:r>
        <w:rPr>
          <w:rFonts w:ascii="Times New Roman;serif" w:hAnsi="Times New Roman;serif"/>
          <w:b/>
          <w:i/>
          <w:color w:val="000000"/>
          <w:sz w:val="20"/>
        </w:rPr>
        <w:t xml:space="preserve">Due to Borrowers. </w:t>
      </w:r>
      <w:r>
        <w:rPr>
          <w:rFonts w:ascii="Times New Roman;serif" w:hAnsi="Times New Roman;serif"/>
          <w:b w:val="false"/>
          <w:color w:val="000000"/>
          <w:sz w:val="20"/>
        </w:rPr>
        <w:t>Due to borrowers represents borrowers’ funds held by us to fund certain expenditures or to be released at our discretion upon the occurrence of certain pre-specified events, and to serve as additional collateral for borrowers’ loans. While retained, these balances earn interest in accordance with the specific loan terms they are associated 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15 — Variable Interest Entities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involvement with VIEs primarily affects our financial performance and cash flows through amounts recorded in interest income, interest expense, provision for loan losses and through activity associated with our derivative instruments.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200" w:after="283"/>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200" w:after="283"/>
        <w:jc w:val="left"/>
        <w:rPr/>
      </w:pPr>
      <w:r>
        <w:rPr>
          <w:rFonts w:ascii="Times New Roman;serif" w:hAnsi="Times New Roman;serif"/>
          <w:b/>
          <w:i/>
          <w:color w:val="000000"/>
          <w:sz w:val="20"/>
        </w:rPr>
        <w:t>Consolidated VIEs.</w:t>
      </w:r>
      <w:r>
        <w:rPr>
          <w:color w:val="000000"/>
        </w:rPr>
        <w:t xml:space="preserve"> </w:t>
      </w:r>
      <w:r>
        <w:rPr>
          <w:rFonts w:ascii="Times New Roman;serif" w:hAnsi="Times New Roman;serif"/>
          <w:b w:val="false"/>
          <w:color w:val="000000"/>
          <w:sz w:val="20"/>
        </w:rPr>
        <w:t xml:space="preserve">We have determined that our operating partnership, ARLP, and our CLO and Q Series securitization entities (“Securitization Entities”) are VIEs, which we consolidate.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Securitization Entities invest in real estate and real estate-related securities and are financed by the issuance of debt securities. We believe we hold the power necessary to direct the most significant economic activities of those entities. We also have exposure to losses to the extent of our equity interests, and rights to waterfall payments in excess of required payments to bond investors. As a result of consolidation, equity interests have been eliminated, and the consolidated balance sheets reflect both the assets held and debt issued to third parties by the Securitization Entities, prior to the unwind. Our operating results and cash flows include the gross asset and liability amounts related to the Securitization Entities as opposed to our net economic interests in those entities.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assets and liabilities related to these consolidated Securitization Entities are as follows ($ in thousands):</w:t>
      </w:r>
    </w:p>
    <w:tbl>
      <w:tblPr>
        <w:tblW w:w="5492" w:type="dxa"/>
        <w:jc w:val="left"/>
        <w:tblInd w:w="0" w:type="dxa"/>
        <w:tblLayout w:type="fixed"/>
        <w:tblCellMar>
          <w:top w:w="28" w:type="dxa"/>
          <w:left w:w="28" w:type="dxa"/>
          <w:bottom w:w="28" w:type="dxa"/>
          <w:right w:w="28" w:type="dxa"/>
        </w:tblCellMar>
      </w:tblPr>
      <w:tblGrid>
        <w:gridCol w:w="837"/>
        <w:gridCol w:w="739"/>
        <w:gridCol w:w="748"/>
        <w:gridCol w:w="211"/>
        <w:gridCol w:w="976"/>
        <w:gridCol w:w="109"/>
        <w:gridCol w:w="109"/>
        <w:gridCol w:w="109"/>
        <w:gridCol w:w="109"/>
        <w:gridCol w:w="243"/>
        <w:gridCol w:w="1125"/>
        <w:gridCol w:w="177"/>
      </w:tblGrid>
      <w:tr>
        <w:trPr/>
        <w:tc>
          <w:tcPr>
            <w:tcW w:w="83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35,258 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and investments,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3,641,332 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4,557,631 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69,132 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3,790,046 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4,662,021 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Securitized debt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2,972,246 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3,468,258 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2,978,886 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3,477,848 </w:t>
            </w:r>
          </w:p>
        </w:tc>
        <w:tc>
          <w:tcPr>
            <w:tcW w:w="1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Assets held by the Securitization Entities are restricted and can only be used to settle obligations of those entities. The liabilities of the Securitization Entities are non-recourse to us and can only be satisfied from each respective asset pool. See Note 10 for details. We are not obligated to provide, have not provided, and do not intend to provide financial support to any of the Securitization Entities.</w:t>
      </w:r>
    </w:p>
    <w:p>
      <w:pPr>
        <w:pStyle w:val="TextBody"/>
        <w:bidi w:val="0"/>
        <w:spacing w:lineRule="auto" w:line="288" w:before="200" w:after="283"/>
        <w:jc w:val="left"/>
        <w:rPr/>
      </w:pPr>
      <w:r>
        <w:rPr>
          <w:rFonts w:ascii="Times New Roman;serif" w:hAnsi="Times New Roman;serif"/>
          <w:b/>
          <w:i/>
          <w:color w:val="000000"/>
          <w:sz w:val="20"/>
        </w:rPr>
        <w:t>Unconsolidated VIEs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We determined that we are not the primary beneficiary of 65 VIEs in which we have a variable interest at June 30, 2026 because we do not have the ability to direct the activities of the VIEs that most significantly impact each entity's economic performance or substantially all of the activities do not involve, or are not conducted on behalf of, the Company.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 summary of our variable interests in identified VIEs, of which we are not the primary beneficiary, at June 30, 2026 is as follows ($ in thousands):</w:t>
      </w:r>
    </w:p>
    <w:tbl>
      <w:tblPr>
        <w:tblW w:w="4346" w:type="dxa"/>
        <w:jc w:val="left"/>
        <w:tblInd w:w="0" w:type="dxa"/>
        <w:tblLayout w:type="fixed"/>
        <w:tblCellMar>
          <w:top w:w="28" w:type="dxa"/>
          <w:left w:w="28" w:type="dxa"/>
          <w:bottom w:w="28" w:type="dxa"/>
          <w:right w:w="28" w:type="dxa"/>
        </w:tblCellMar>
      </w:tblPr>
      <w:tblGrid>
        <w:gridCol w:w="830"/>
        <w:gridCol w:w="731"/>
        <w:gridCol w:w="748"/>
        <w:gridCol w:w="109"/>
        <w:gridCol w:w="109"/>
        <w:gridCol w:w="109"/>
        <w:gridCol w:w="269"/>
        <w:gridCol w:w="1245"/>
        <w:gridCol w:w="196"/>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 Amount (1)</w:t>
            </w:r>
          </w:p>
        </w:tc>
      </w:tr>
      <w:tr>
        <w:trPr/>
        <w:tc>
          <w:tcPr>
            <w:tcW w:w="23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1,530,221 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APL certificates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145,486 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30,287 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 Piece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25,994 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Agency interest-only strips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1,731,994 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(1)Represents the carrying amount of loans and investments before reserves. At June 30, 2026, $114.4 million of loans to VIEs had corresponding specific loan loss reserves of $14.5 million. The maximum loss exposure at June 30, 2026 would not exceed the carrying amount of our investment.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These unconsolidated VIEs have exposure to real estate debt of approximately $4.78 billion at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16 — Equity</w:t>
      </w:r>
    </w:p>
    <w:p>
      <w:pPr>
        <w:pStyle w:val="TextBody"/>
        <w:bidi w:val="0"/>
        <w:spacing w:lineRule="auto" w:line="288" w:before="200" w:after="283"/>
        <w:jc w:val="left"/>
        <w:rPr/>
      </w:pPr>
      <w:r>
        <w:rPr>
          <w:rFonts w:ascii="Times New Roman;serif" w:hAnsi="Times New Roman;serif"/>
          <w:b/>
          <w:i/>
          <w:color w:val="000000"/>
          <w:sz w:val="20"/>
        </w:rPr>
        <w:t xml:space="preserve">Preferred Stock. </w:t>
      </w:r>
      <w:r>
        <w:rPr>
          <w:rFonts w:ascii="Times New Roman;serif" w:hAnsi="Times New Roman;serif"/>
          <w:b w:val="false"/>
          <w:color w:val="000000"/>
          <w:sz w:val="20"/>
        </w:rPr>
        <w:t xml:space="preserve">The Series D, Series E and Series F preferred stock are not redeemable by us prior to June 2, 2026, August 11, 2026 and October 12, 2026, respectively. Holders of the Series F preferred stock are entitled to receive cumulative dividends at a fixed rate equal to 6.25% from the date of issuance through October 29, 2026 and at a floating rate equal to a benchmark rate (which is expected to be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200" w:after="283"/>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three-month term SOFR) plus a spread of 5.442% per annum beginning October 30, 2026; provided that in no event should the rate be lower than 6.125%.</w:t>
      </w:r>
    </w:p>
    <w:p>
      <w:pPr>
        <w:pStyle w:val="TextBody"/>
        <w:bidi w:val="0"/>
        <w:spacing w:lineRule="auto" w:line="288" w:before="200" w:after="283"/>
        <w:jc w:val="left"/>
        <w:rPr/>
      </w:pPr>
      <w:r>
        <w:rPr>
          <w:rFonts w:ascii="Times New Roman;serif" w:hAnsi="Times New Roman;serif"/>
          <w:b/>
          <w:i/>
          <w:color w:val="000000"/>
          <w:sz w:val="20"/>
        </w:rPr>
        <w:t>Common Stock.</w:t>
      </w:r>
      <w:r>
        <w:rPr>
          <w:color w:val="000000"/>
        </w:rPr>
        <w:t xml:space="preserve"> </w:t>
      </w:r>
      <w:r>
        <w:rPr>
          <w:rFonts w:ascii="Times New Roman;serif" w:hAnsi="Times New Roman;serif"/>
          <w:b w:val="false"/>
          <w:color w:val="000000"/>
          <w:sz w:val="20"/>
        </w:rPr>
        <w:t>We have an equity distribution agreement with Citizens JMP Securities, LLC ("JMP"). In accordance with the terms of the agreement, we may offer and sell up to 30,000,000 shares of our common stock in "At-The-Market" equity offerings through JMP by means of ordinary brokers' transactions or otherwise at market prices prevailing at the time of sale, or at negotiated prices. At June 30, 2026, we had 23,439,335 shares available under the agreement.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have a share repurchase program providing for the repurchase of up to $150.0 million of our outstanding common stock. The repurchase of our common stock may be made from time to time in the open market, through privately negotiated transactions, or otherwise in compliance with Rule 10b-18 and Rule 10b5-1 under the Exchange Act, based on our stock price, general market conditions, applicable legal requirements and other factors. The program may be discontinued or modified at any time. During the six months ended June 30, 2026, we repurchased 7,668,592 shares of our common stock under our share repurchase program at a cost of $51.4 million, excluding broker commission fees, representing an average cost of $6.71 per share. At June 30, 2026, there was $85.2 million available for repurchase under this program.</w:t>
      </w:r>
    </w:p>
    <w:p>
      <w:pPr>
        <w:pStyle w:val="TextBody"/>
        <w:bidi w:val="0"/>
        <w:spacing w:lineRule="auto" w:line="288" w:before="200" w:after="283"/>
        <w:jc w:val="left"/>
        <w:rPr/>
      </w:pPr>
      <w:r>
        <w:rPr>
          <w:rFonts w:ascii="Times New Roman;serif" w:hAnsi="Times New Roman;serif"/>
          <w:b/>
          <w:i/>
          <w:color w:val="000000"/>
          <w:sz w:val="20"/>
        </w:rPr>
        <w:t>Noncontrolling Interest.</w:t>
      </w:r>
      <w:r>
        <w:rPr>
          <w:color w:val="000000"/>
        </w:rPr>
        <w:t xml:space="preserve"> </w:t>
      </w:r>
      <w:r>
        <w:rPr>
          <w:rFonts w:ascii="Times New Roman;serif" w:hAnsi="Times New Roman;serif"/>
          <w:b w:val="false"/>
          <w:color w:val="000000"/>
          <w:sz w:val="20"/>
        </w:rPr>
        <w:t>Noncontrolling interest relates to the operating partnership units (“OP Units”) issued to satisfy a portion of the purchase price in connection with the acquisition of the agency platform of Arbor Commercial Mortgage, LLC ("ACM") in 2016. Each of these OP Units are paired with one share of our special voting preferred shares having a par value of $0.01 per share and is entitled to one vote each on any matter submitted for stockholder approval. The OP Units are entitled to receive distributions if and when our Board of Directors authorizes and declares common stock distributions. The OP Units are also redeemable for cash, or at our option, for shares of our common stock on a one-for-one basis. At June 30, 2026, there were 16,170,218 OP Units outstanding, which represented 7.9% of the voting power of our outstanding stock.</w:t>
      </w:r>
    </w:p>
    <w:p>
      <w:pPr>
        <w:pStyle w:val="TextBody"/>
        <w:bidi w:val="0"/>
        <w:spacing w:lineRule="auto" w:line="288" w:before="200" w:after="283"/>
        <w:jc w:val="left"/>
        <w:rPr/>
      </w:pPr>
      <w:r>
        <w:rPr>
          <w:rFonts w:ascii="Times New Roman;serif" w:hAnsi="Times New Roman;serif"/>
          <w:b/>
          <w:i/>
          <w:color w:val="000000"/>
          <w:sz w:val="20"/>
        </w:rPr>
        <w:t xml:space="preserve">Distributions. </w:t>
      </w:r>
      <w:r>
        <w:rPr>
          <w:rFonts w:ascii="Times New Roman;serif" w:hAnsi="Times New Roman;serif"/>
          <w:b w:val="false"/>
          <w:color w:val="000000"/>
          <w:sz w:val="20"/>
        </w:rPr>
        <w:t>Dividends declared (on a per share basis) during the six months ended June 30, 2026 are as follows:</w:t>
      </w:r>
    </w:p>
    <w:tbl>
      <w:tblPr>
        <w:tblW w:w="9367" w:type="dxa"/>
        <w:jc w:val="left"/>
        <w:tblInd w:w="0" w:type="dxa"/>
        <w:tblLayout w:type="fixed"/>
        <w:tblCellMar>
          <w:top w:w="28" w:type="dxa"/>
          <w:left w:w="28" w:type="dxa"/>
          <w:bottom w:w="28" w:type="dxa"/>
          <w:right w:w="28" w:type="dxa"/>
        </w:tblCellMar>
      </w:tblPr>
      <w:tblGrid>
        <w:gridCol w:w="581"/>
        <w:gridCol w:w="511"/>
        <w:gridCol w:w="512"/>
        <w:gridCol w:w="109"/>
        <w:gridCol w:w="109"/>
        <w:gridCol w:w="109"/>
        <w:gridCol w:w="211"/>
        <w:gridCol w:w="511"/>
        <w:gridCol w:w="109"/>
        <w:gridCol w:w="109"/>
        <w:gridCol w:w="109"/>
        <w:gridCol w:w="109"/>
        <w:gridCol w:w="464"/>
        <w:gridCol w:w="464"/>
        <w:gridCol w:w="466"/>
        <w:gridCol w:w="109"/>
        <w:gridCol w:w="109"/>
        <w:gridCol w:w="109"/>
        <w:gridCol w:w="211"/>
        <w:gridCol w:w="1036"/>
        <w:gridCol w:w="109"/>
        <w:gridCol w:w="109"/>
        <w:gridCol w:w="109"/>
        <w:gridCol w:w="109"/>
        <w:gridCol w:w="211"/>
        <w:gridCol w:w="931"/>
        <w:gridCol w:w="109"/>
        <w:gridCol w:w="109"/>
        <w:gridCol w:w="109"/>
        <w:gridCol w:w="109"/>
        <w:gridCol w:w="211"/>
        <w:gridCol w:w="931"/>
        <w:gridCol w:w="154"/>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r>
      <w:tr>
        <w:trPr/>
        <w:tc>
          <w:tcPr>
            <w:tcW w:w="1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Dividend</w:t>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Dividend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Series 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Series 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Series F</w:t>
            </w:r>
          </w:p>
        </w:tc>
      </w:tr>
      <w:tr>
        <w:trPr/>
        <w:tc>
          <w:tcPr>
            <w:tcW w:w="16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March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0.3984375 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0.390625 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0.390625 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29,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0.3984375 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0.390625 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0.390625 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i/>
          <w:color w:val="000000"/>
          <w:sz w:val="20"/>
        </w:rPr>
        <w:t xml:space="preserve">Common Stock </w:t>
      </w:r>
      <w:r>
        <w:rPr>
          <w:color w:val="000000"/>
        </w:rPr>
        <w:t xml:space="preserve">– </w:t>
      </w:r>
      <w:r>
        <w:rPr>
          <w:rFonts w:ascii="Times New Roman;serif" w:hAnsi="Times New Roman;serif"/>
          <w:b w:val="false"/>
          <w:color w:val="000000"/>
          <w:sz w:val="20"/>
        </w:rPr>
        <w:t>On July 29, 2026, the Board of Directors declared a cash dividend of $0.17 per share of common stock. The dividend is payable on August 28, 2026 to common stockholders of record as of the close of business on August 14, 2026.</w:t>
      </w:r>
    </w:p>
    <w:p>
      <w:pPr>
        <w:pStyle w:val="TextBody"/>
        <w:bidi w:val="0"/>
        <w:spacing w:lineRule="auto" w:line="288" w:before="200" w:after="283"/>
        <w:jc w:val="left"/>
        <w:rPr/>
      </w:pPr>
      <w:r>
        <w:rPr>
          <w:rFonts w:ascii="Times New Roman;serif" w:hAnsi="Times New Roman;serif"/>
          <w:b/>
          <w:i/>
          <w:color w:val="000000"/>
          <w:sz w:val="20"/>
        </w:rPr>
        <w:t>Deferred Compensation.</w:t>
      </w:r>
      <w:r>
        <w:rPr>
          <w:color w:val="000000"/>
        </w:rPr>
        <w:t xml:space="preserve"> </w:t>
      </w:r>
      <w:r>
        <w:rPr>
          <w:rFonts w:ascii="Times New Roman;serif" w:hAnsi="Times New Roman;serif"/>
          <w:b w:val="false"/>
          <w:color w:val="000000"/>
          <w:sz w:val="20"/>
        </w:rPr>
        <w:t>During 2026, we granted 1,249,730 shares of restricted common stock to certain employees and Board of Directors members under the Amended Omnibus Stock Incentive Plan with a total grant date fair value of $9.1 million, of which: (1) 395,249 shares with a grant date fair value of $3.0 million vested on the grant date in 2026; (2) 342,587 shares with a grant date fair value of $2.6 million will vest in 2027; (3) 352,135 shares with a grant date fair value of $2.6 million will vest in 2028; (4) 47,267 shares with a grant date fair value of $0.3 million will vest in 2029; and (5) 112,492 shares with a grant date fair value of $0.6 million will vest in 2030.</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2026, we granted our chief executive officer 281,690 shares of restricted common stock with a grant date fair value of $2.1 million that vest in full in the first quarter of 2029. We also granted our chief executive officer up to 1,126,760 shares of performance-based restricted stock units (“RSUs”) with a grant date fair value of $3.1 million that vest at the end of a four-year performance period based on the achievement of certain stockholder return objectives.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During 2026, we granted our chief operating officer 649,350 shares of performance-based RSUs with a grant date fair value of $0.6 million that vest at the end of a five-year performance period based on the achievement of certain stockholder return objectives. We also awarded our chief operating officer a multi-year performance award pursuant to which he may earn between 0% and 100% of a maximum award value of $20.0 million based on the level of achievement of specified new business volume and related performance metrics during the applicable performance period. Following completion of the performance period and certification of the performance results, any portion of the award earned will be converted into and granted in the form of shares of restricted common stock. The grant date and number of shares resulting from the award will be determined at that time based on the applicable stock price specified in the award agreement. Subject to continued employment, the restricted shares will generally vest in five equal installments on the grant date and on each of the first four anniversaries of the grant date.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also issued 93,075 fully-vested RSUs with a grant date fair value of $0.7 million to certain members of our Board of Directors, who have decided to defer the receipt of the common stock, into which the RSUs are converted, or to defer receipt of cash fees, to a future date pursuant to a pre-established deferral election.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200" w:after="283"/>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During 2026, we withheld 322,969 shares from the net settlement of restricted common stock by employees for payment of withholding taxes on shares that vested.</w:t>
      </w:r>
    </w:p>
    <w:p>
      <w:pPr>
        <w:pStyle w:val="TextBody"/>
        <w:bidi w:val="0"/>
        <w:spacing w:lineRule="auto" w:line="288" w:before="200" w:after="283"/>
        <w:jc w:val="left"/>
        <w:rPr/>
      </w:pPr>
      <w:r>
        <w:rPr>
          <w:rFonts w:ascii="Times New Roman;serif" w:hAnsi="Times New Roman;serif"/>
          <w:b/>
          <w:i/>
          <w:color w:val="000000"/>
          <w:sz w:val="20"/>
        </w:rPr>
        <w:t xml:space="preserve">Earnings Per Share (“EPS”). </w:t>
      </w:r>
      <w:r>
        <w:rPr>
          <w:rFonts w:ascii="Times New Roman;serif" w:hAnsi="Times New Roman;serif"/>
          <w:b w:val="false"/>
          <w:color w:val="000000"/>
          <w:sz w:val="20"/>
        </w:rPr>
        <w:t xml:space="preserve">Basic EPS is calculated by dividing net income (loss) attributable to common stockholders by the weighted average number of shares of common stock outstanding during each period inclusive of unvested restricted stock with full dividend participation rights. Diluted EPS is calculated by dividing net income (loss) by the weighted average number of shares of common stock outstanding, plus the additional dilutive effect of common stock equivalents during each period. Our common stock equivalents include the weighted average dilutive effect of RSUs and OP Units and for the six months ended June 30, 2025, convertible senior unsecured notes.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 reconciliation of the numerator and denominator of our basic and diluted EPS computations is as follows ($ in thousands, except share and per share data):</w:t>
      </w:r>
    </w:p>
    <w:tbl>
      <w:tblPr>
        <w:tblW w:w="10205" w:type="dxa"/>
        <w:jc w:val="left"/>
        <w:tblInd w:w="0" w:type="dxa"/>
        <w:tblLayout w:type="fixed"/>
        <w:tblCellMar>
          <w:top w:w="28" w:type="dxa"/>
          <w:left w:w="28" w:type="dxa"/>
          <w:bottom w:w="28" w:type="dxa"/>
          <w:right w:w="28" w:type="dxa"/>
        </w:tblCellMar>
      </w:tblPr>
      <w:tblGrid>
        <w:gridCol w:w="1576"/>
        <w:gridCol w:w="1296"/>
        <w:gridCol w:w="1301"/>
        <w:gridCol w:w="109"/>
        <w:gridCol w:w="109"/>
        <w:gridCol w:w="109"/>
        <w:gridCol w:w="263"/>
        <w:gridCol w:w="923"/>
        <w:gridCol w:w="119"/>
        <w:gridCol w:w="109"/>
        <w:gridCol w:w="109"/>
        <w:gridCol w:w="109"/>
        <w:gridCol w:w="227"/>
        <w:gridCol w:w="795"/>
        <w:gridCol w:w="119"/>
        <w:gridCol w:w="109"/>
        <w:gridCol w:w="109"/>
        <w:gridCol w:w="109"/>
        <w:gridCol w:w="231"/>
        <w:gridCol w:w="790"/>
        <w:gridCol w:w="120"/>
        <w:gridCol w:w="109"/>
        <w:gridCol w:w="109"/>
        <w:gridCol w:w="109"/>
        <w:gridCol w:w="220"/>
        <w:gridCol w:w="753"/>
        <w:gridCol w:w="164"/>
      </w:tblGrid>
      <w:tr>
        <w:trPr/>
        <w:tc>
          <w:tcPr>
            <w:tcW w:w="157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4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Basic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Diluted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Basic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Diluted</w:t>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common stockholders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(37,342)</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(37,342)</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23,952 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23,952 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noncontrolling interest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common stockholders and noncontrolling interest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(37,342)</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(37,342)</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23,952 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25,967 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190,806,800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190,806,800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192,236,206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192,236,206</w:t>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OP Units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16,173,761</w:t>
            </w:r>
          </w:p>
        </w:tc>
      </w:tr>
      <w:tr>
        <w:trPr/>
        <w:tc>
          <w:tcPr>
            <w:tcW w:w="4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RSUs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593,035</w:t>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190,806,800 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190,806,800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192,236,206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209,003,002</w:t>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per common share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1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1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2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6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5"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common stockholders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(36,713)</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(36,713)</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54,389 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54,389 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noncontrolling interest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common stockholders and noncontrolling interest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(36,713)</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(36,713)</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54,389 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59,006 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192,491,494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192,491,494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191,154,501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191,154,501</w:t>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OP Units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16,211,314</w:t>
            </w:r>
          </w:p>
        </w:tc>
      </w:tr>
      <w:tr>
        <w:trPr/>
        <w:tc>
          <w:tcPr>
            <w:tcW w:w="4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RSUs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572,759</w:t>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192,491,494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192,491,494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191,154,501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207,938,574</w:t>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per common share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1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1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2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6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(1)For the three and six months ended June 30, 2026, potentially dilutive securities were excluded from the computation of diluted loss per common share because their effect would have been anti-dilutive due to the net loss attributable to common stockholders incurred during the period.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(2)Net of preferred stock dividends.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(3)We consider OP Units to be common stock equivalents as the holders have voting rights, the right to distributions and the right to redeem the OP Units for the cash value of a corresponding number of shares of common stock or a corresponding number of shares of common stock, at our election.</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three and six months ended June 30, 2025 excludes interest expense of $6.1 million and $12.2 million, respectively, and potentially dilutive shares of 17,471,534 and 17,543,663, respectively, attributable to convertible debt since their effect would have been anti-dilutive. In August 2025, our convertible debt matured and was fully settled.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(5)Represents the dilutive effect of performance-based RSUs granted to certain executive officers that vest based upon our achievement of total stockholder return objectives and RSUs granted to our chief executive officer and certain directors who have decided to defer the receipt of the common stock into which the RSUs are converted, or to defer receipt of cash fees, to a future date pursuant to a pre-established deferral election.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200" w:after="283"/>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17 — Income Taxes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a REIT, we are generally not subject to U.S. federal income tax to the extent of our distributions to stockholders and as long as certain asset, income, distribution, ownership and administrative tests are met. To maintain our qualification as a REIT, we must annually distribute at least 90% of our REIT-taxable income to our stockholders and meet certain other requirements. We may also be subject to certain state, local and franchise taxes. Under certain circumstances, federal income and excise taxes may be due on our undistributed taxable income. If we were to fail to meet these requirements, we would be subject to U.S. federal income tax, which could have a material adverse impact on our results of operations and amounts available for distributions to our stockholders. We believe that all of the criteria to maintain our REIT qualification have been met for the applicable periods, but there can be no assurance that these criteria will continue to be met in subsequent periods.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Agency Business is operated through our TRS Consolidated Group and is subject to U.S. federal, state and local income taxes. In general, our TRS entities may hold assets that the REIT cannot hold directly and may engage in real estate or non-real estate-related business.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(the “OBBBA”) was enacted into law. The legislation includes significant changes to U.S. tax law. Both our REIT and Agency Business are now subject to the provisions of Section 162(m) of the Internal Revenue Code (“Section 162(m)”) which limits the tax deductibility of executive compensation to $1.0 million per year for each named executive officer (“NEO”). We believe that it is more likely than not a significant portion of our NEO compensation will exceed the $1.0 million limitation in current and future years resulting in no tax deductibility for the book expense associated with these compensation agreements, including share-based compensation. In addition, the OBBBA made permanent the deduction generally available to individuals, trusts and estates equal to 20% of ordinary REIT dividends, subject to certain limitations, which had previously been scheduled to expire for taxable years beginning on or after January 1, 2026. The OBBBA also increased the limitation on a REIT’s ownership of taxable REIT subsidiary securities from 20% to 25% of the REIT’s total assets, effective for taxable years beginning after December 31, 2025.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 summary of our income tax provision is as follows ($ in thousands):</w:t>
      </w:r>
    </w:p>
    <w:tbl>
      <w:tblPr>
        <w:tblW w:w="7680" w:type="dxa"/>
        <w:jc w:val="left"/>
        <w:tblInd w:w="0" w:type="dxa"/>
        <w:tblLayout w:type="fixed"/>
        <w:tblCellMar>
          <w:top w:w="28" w:type="dxa"/>
          <w:left w:w="28" w:type="dxa"/>
          <w:bottom w:w="28" w:type="dxa"/>
          <w:right w:w="28" w:type="dxa"/>
        </w:tblCellMar>
      </w:tblPr>
      <w:tblGrid>
        <w:gridCol w:w="906"/>
        <w:gridCol w:w="798"/>
        <w:gridCol w:w="801"/>
        <w:gridCol w:w="211"/>
        <w:gridCol w:w="691"/>
        <w:gridCol w:w="109"/>
        <w:gridCol w:w="109"/>
        <w:gridCol w:w="109"/>
        <w:gridCol w:w="109"/>
        <w:gridCol w:w="211"/>
        <w:gridCol w:w="691"/>
        <w:gridCol w:w="109"/>
        <w:gridCol w:w="109"/>
        <w:gridCol w:w="109"/>
        <w:gridCol w:w="109"/>
        <w:gridCol w:w="211"/>
        <w:gridCol w:w="796"/>
        <w:gridCol w:w="109"/>
        <w:gridCol w:w="109"/>
        <w:gridCol w:w="109"/>
        <w:gridCol w:w="109"/>
        <w:gridCol w:w="211"/>
        <w:gridCol w:w="691"/>
        <w:gridCol w:w="154"/>
      </w:tblGrid>
      <w:tr>
        <w:trPr/>
        <w:tc>
          <w:tcPr>
            <w:tcW w:w="90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income tax provision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(10,026)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benefit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provision</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(6,989)</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18 — Agreements and Transactions with Related Parties</w:t>
      </w:r>
    </w:p>
    <w:p>
      <w:pPr>
        <w:pStyle w:val="TextBody"/>
        <w:bidi w:val="0"/>
        <w:spacing w:lineRule="auto" w:line="288" w:before="200" w:after="283"/>
        <w:jc w:val="left"/>
        <w:rPr/>
      </w:pPr>
      <w:r>
        <w:rPr>
          <w:rFonts w:ascii="Times New Roman;serif" w:hAnsi="Times New Roman;serif"/>
          <w:b/>
          <w:i/>
          <w:color w:val="000000"/>
          <w:sz w:val="20"/>
        </w:rPr>
        <w:t xml:space="preserve">Support Agreement and Employee Secondment Agreement. </w:t>
      </w:r>
      <w:r>
        <w:rPr>
          <w:rFonts w:ascii="Times New Roman;serif" w:hAnsi="Times New Roman;serif"/>
          <w:b w:val="false"/>
          <w:color w:val="000000"/>
          <w:sz w:val="20"/>
        </w:rPr>
        <w:t>We have a support agreement and a secondment agreement with ACM and certain of its affiliates and certain affiliates of a relative of our chief executive officer (“Service Recipients”) where we provide support services and seconded employees to the Service Recipients. The Service Recipients reimburse us for the costs of performing such services and the cost of the seconded employees. During the three and six months ended June 30, 2026, we incurred $0.9 million and $1.8 million, respectively, and, during the three and six months ended June 30, 2025, we incurred $1.0 million and $1.9 million, respectively, of costs for services provided and employees seconded to the Service Recipients, all of which are reimbursable to us and included in due from related party on the consolidated balance sheets.</w:t>
      </w:r>
    </w:p>
    <w:p>
      <w:pPr>
        <w:pStyle w:val="TextBody"/>
        <w:bidi w:val="0"/>
        <w:spacing w:lineRule="auto" w:line="288" w:before="200" w:after="283"/>
        <w:jc w:val="left"/>
        <w:rPr/>
      </w:pPr>
      <w:r>
        <w:rPr>
          <w:rFonts w:ascii="Times New Roman;serif" w:hAnsi="Times New Roman;serif"/>
          <w:b/>
          <w:i/>
          <w:color w:val="000000"/>
          <w:sz w:val="20"/>
        </w:rPr>
        <w:t xml:space="preserve">Other Related Party Transactions. </w:t>
      </w:r>
      <w:r>
        <w:rPr>
          <w:rFonts w:ascii="Times New Roman;serif" w:hAnsi="Times New Roman;serif"/>
          <w:b w:val="false"/>
          <w:color w:val="000000"/>
          <w:sz w:val="20"/>
        </w:rPr>
        <w:t>Investments in equity affiliates, which represent related parties under GAAP, and their related disclosures, are included in Note 8.</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certain instances, our business requires our executives to utilize privately owned aircraft in furtherance of our business. We have an aircraft time-sharing agreement with an entity controlled by our chief executive officer that owns a private aircraft. Pursuant to the agreement, we reimburse the aircraft owner for the required costs under Federal Aviation Administration regulations for the flights our executives take. Beginning in 2026, for certain flights, we also charter the aircraft from a certificated air carrier for use of the same aircraft. The air carrier provides charter revenue back to the aircraft owner when we use the aircraft. During the three and six months ended June 30, 2026, we reimbursed the aircraft owner $0.2 million and $0.4 million, respectively, and during the three and six months ended June 30, 2025, we reimbursed the aircraft owner $0.7 million and $0.9 million, respectively, for flights taken by our executives pursuant to the time-sharing agreement. During both the three and six months ended June 30, 2026, we reimbursed the aircraft owner $0.6 million, for the flights chartered by our executives pursuant to the agreement.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2025, we originated a $67.9 million bridge loan for the acquisition of a multifamily property purchased by a joint venture we formed with ACM, an entity owned by an immediate family member of our chief executive officer and a consortium of independent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200" w:after="283"/>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outside investors, we refer to as "Clarus Berkley," which was formed to purchase and operate the property. We contributed $1.5 million, for a 3.6% interest in the borrowing entity, while ACM and the entity owned by an immediate family member of our chief executive officer contributed a combined $1.8 million for a 4.3% interest in the borrowing entity. The loan has an interest rate of SOFR plus 2.50% with a SOFR floor of 2.50% and matures in November 2028. Interest income recorded from this loan was $1.1 million and $2.2 million for the three and six months ended June 30, 2026, respectively. See Note 8 for further details.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2025, we committed to fund a $44.8 million bridge loan ($2.3 million was funded at June 30, 2026) in an SFR BTR construction project. An entity owned by an immediate family member of our chief executive officer also made an equity investment in the project, representing less than 1.0% of the total equity invested. The loan has an interest rate of SOFR plus 4.25% with a SOFR floor of 3.50% and matures in November 2028, with a one-year extension option. Interest income recorded from this loan was less than $0.1 million for both the three and six months ended June 30, 2026.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2025, we committed to fund a $50.5 million bridge loan ($3.9 million was funded at June 30, 2026) in an SFR BTR construction project. ACM and an entity owned by an immediate family member of our chief executive officer also made equity investments in the project, representing in the aggregate 4.6% of the total equity invested. The loan has an interest rate of SOFR plus 4.25% with a SOFR floor of 3.50% and matures in October 2028, with a one-year extension option. Interest income recorded from this loan was less than $0.1 million for both the three and six months ended June 30, 2026. </w:t>
      </w:r>
    </w:p>
    <w:p>
      <w:pPr>
        <w:pStyle w:val="TextBody"/>
        <w:bidi w:val="0"/>
        <w:spacing w:lineRule="auto" w:line="288" w:before="200" w:after="283"/>
        <w:jc w:val="left"/>
        <w:rPr/>
      </w:pPr>
      <w:r>
        <w:rPr>
          <w:rFonts w:ascii="Times New Roman;serif" w:hAnsi="Times New Roman;serif"/>
          <w:b w:val="false"/>
          <w:color w:val="000000"/>
          <w:sz w:val="20"/>
        </w:rPr>
        <w:t>In August 2025, we originated a $4.0 million bridge loan for the acquisition of a condominium complex, of which one of our directors is the co-chief executive officer and president of an entity that is an indirect owner of the borrower. The loan has an interest rate of SOFR plus 3.25% with a SOFR floor of 4.32% and matures in August 2026. Interest income recorded from this bridge loan was less than $0.1 million and $0.2 million</w:t>
      </w:r>
      <w:r>
        <w:rPr>
          <w:color w:val="000000"/>
        </w:rPr>
        <w:t xml:space="preserve"> </w:t>
      </w:r>
      <w:r>
        <w:rPr>
          <w:rFonts w:ascii="Times New Roman;serif" w:hAnsi="Times New Roman;serif"/>
          <w:b w:val="false"/>
          <w:color w:val="000000"/>
          <w:sz w:val="20"/>
        </w:rPr>
        <w:t xml:space="preserve">for the three and six months ended June 30, 2026, respectively.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May 2025, we refinanced a $32.5 million bridge loan with a new $43.0 million bridge loan for an SFR BTR construction project that was scheduled to mature in May 2026, which was extended to July 2026. In 2020, we also made a $3.5 million preferred equity investment in the same project, of which $1.2 million was paid off in May 2025. An entity owned by an immediate family member of our chief executive officer also made an equity investment in the project and owned a 21.8% equity interest in the borrowing entity that increased to 26.6% in connection with the refinancing. The interest on the old loan was SOFR plus 3.75% with a SOFR floor of 0.75% and the interest rate of the new loan is SOFR plus 3.00% with a SOFR floor of 3.25%. The preferred equity investment has a 12.00% fixed rate and was scheduled to mature in May 2026, which was extended to July 2026. In connection with the extension, the borrower paid deferred interest of $1.9 million. In July 2026, the outstanding bridge loan and preferred equity investment paid off in full, including all back interest owed. Interest income recorded from these loans was $0.6 million and $1.4 million for the three and six months ended June 30, 2026, respectively, and $1.0 million and $2.0 million for the three and six ended June 30, 2025, respectively.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May 2025, we refinanced a $30.5 million bridge loan with a new $36.2 million bridge loan, for an SFR BTR construction project. In 2020, we also made a $4.6 million preferred equity investment in the same project. ACM and an entity owned by an immediate family member of our chief executive officer also made equity investments in the project and owned a combined 18.9% equity interest in the borrowing entity that increased to 33.7% in connection with the refinancing. The interest rate on the old loan was SOFR plus 4.25% with a SOFR floor of 1.00% and the interest rate on the new loan is SOFR plus 3.00% with a SOFR floor of 3.25%. The new loan was scheduled to mature in May 2026, which was extended to July 2026. The preferred equity investment has a 12.00% fixed rate and was scheduled to mature in May 2026, which was extended to July 2026. In connection with the extension, the borrower paid deferred interest of $1.3 million. In July 2026, the outstanding bridge loan and preferred equity investment paid off in full, including all back interest owed. Interest income recorded from these loans was $0.5 million and $1.2 million for the three and six months ended June 30, 2026, respectively, and $0.9 million and $1.9 million for the three and six months ended June 30, 2025, respectively.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May 2025, we refinanced a $56.9 million bridge loan with a new $58.4 million bridge loan for an SFR BTR construction project. Two of our officers made minority equity investments totaling $0.5 million, representing approximately 4% of the total equity invested in the project. Interest on the new loan decreased from SOFR plus 5.50% with a SOFR floor of 3.25% to SOFR plus 2.75% with a SOFR floor of 3.50% and matures in May 2027. Interest income recorded from the loans was $1.0 million and $2.0 million for the three and six months ended June 30, 2026, respectively, and $1.2 million and $2.6 million for the three and six months ended June 30, 2025, respectively.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2025, we refinanced a $46.2 million bridge loan we purchased from ACM in 2022 with a new $52.6 million bridge loan ($40.5 million was funded at June 30, 2026) for an SFR BTR construction project. A consortium of investors (which includes, among other unaffiliated investors, certain of our officers with a minority ownership interest) owns 70% of the borrowing entity and an entity indirectly owned and controlled by an immediate family member of our chief executive officer owns 10% of the borrowing entity. Interest on the new loan decreased from SOFR plus 5.50% to SOFR plus 4.75% and matures in February 2027. Interest income recorded from the loans was $0.9 million and $1.5 million for the three and six months ended June 30, 2026, respectively, and $0.3 million and $0.6 million for the three and six months ended June 30, 2025,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200" w:after="283"/>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2024, we committed to fund a $62.4 million bridge loan ($31.2 million was funded at June 30, 2026) in an SFR BTR construction project. An entity owned by an immediate family member of our chief executive officer also made an equity investment in the project and owns a 3.34% equity interest in the borrowing entity. The loan has an interest rate of SOFR plus 4.25% with a SOFR floor of 3.50% and matures in July 2027. Interest income recorded from this loan was $0.7 million and $1.3 million for the three and six months ended June 30, 2026, respectively, and $0.2 million and $0.3 million for the three and six months ended June 30, 2025, respectively.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2024, we committed to fund a $42.5 million bridge loan ($38.4 million was funded at June 30, 2026) in an SFR BTR construction project. An entity owned by an immediate family member of our chief executive officer also made an equity investment in the project and owns a 2.28% equity interest in the borrowing entity. The loan has an interest rate of SOFR plus 4.25% with a SOFR floor of 3.50% and matures in May 2027. Interest income recorded from this loan was $0.8 million and $1.4 million for the three and six months ended June 30, 2026, respectively, and $0.3 million and $0.4 million for the three and six months ended June 30, 2025, respectively.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2022, we committed to fund a $67.1 million bridge loan ($55.0 million was funded at June 30, 2026) in an SFR BTR construction project. An entity owned by an immediate family member of our chief executive officer also made an equity investment in the project and owns a 2.25% equity interest in the borrowing entity. The loan has an interest rate of SOFR plus 4.63% with a SOFR floor of 0.25% and was scheduled to mature in May 2026, which was extended to May 2027. Interest income recorded from this loan was $1.2 million and $2.4 million for the three and six months ended June 30, 2026, respectively, and $1.1 million and $2.1 million for the three and six months ended June 30, 2025, respectively.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2022, we committed to fund a $39.4 million bridge loan in an SFR BTR construction project. An entity owned by an immediate family member of our chief executive officer also made an equity investment in the project and owns a 2.25% equity interest in the borrowing entity. The loan has an interest rate of SOFR plus 4.00% with a SOFR floor of 0.25% and was scheduled to mature in March 2026, which was extended to March 2027. In April 2026, the bridge loan was paid off. Interest (loss) income recorded from this loan was $(0.1) million and $0.7 million for the three and six months ended June 30, 2026, respectively, and $0.8 million and $1.5 million for the three and six months ended June 30, 2025, respectively. The interest loss recorded during the three months ended June 30, 2026 was primarily attributable to the waiver of a previously accrued exit fee in connection with the loan.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2021, we invested $4.2 million for 49.3% interest in a limited liability company (“LLC”) which purchased a retail property for $32.5 million and assumed an existing $26.0 million CMBS loan. A portion of the property can potentially be converted to office space, of which we have the right to occupy, in part. An entity owned by an immediate family member of our chief executive officer also made an investment in the LLC for a 10% ownership, is the managing member and holds the right to purchase our interest in the LLC. </w:t>
      </w:r>
    </w:p>
    <w:p>
      <w:pPr>
        <w:pStyle w:val="TextBody"/>
        <w:bidi w:val="0"/>
        <w:spacing w:lineRule="auto" w:line="288" w:before="200" w:after="283"/>
        <w:jc w:val="left"/>
        <w:rPr/>
      </w:pPr>
      <w:r>
        <w:rPr>
          <w:rFonts w:ascii="Times New Roman;serif" w:hAnsi="Times New Roman;serif"/>
          <w:b w:val="false"/>
          <w:color w:val="000000"/>
          <w:sz w:val="20"/>
        </w:rPr>
        <w:t>In 2020, we originated a $14.8 million Private Label loan and a $3.4 million mezzanine loan on two multifamily properties owned in part by a consortium of investors (which includes, among other unaffiliated investors, certain of our officers and our chief executive officer) which owns a 50% interest in the borrowing entity. In 2020, we sold the Private Label loan to an unconsolidated affiliate of ours. The mezzanine loan has a fixed interest rate of 9.00% and matures in April 203</w:t>
      </w:r>
      <w:r>
        <w:rPr>
          <w:rFonts w:ascii="Times New Roman;serif" w:hAnsi="Times New Roman;serif"/>
          <w:b w:val="false"/>
          <w:color w:val="000000"/>
          <w:sz w:val="20"/>
          <w:shd w:fill="FFFFFF" w:val="clear"/>
        </w:rPr>
        <w:t xml:space="preserve">0. </w:t>
      </w:r>
      <w:r>
        <w:rPr>
          <w:rFonts w:ascii="Times New Roman;serif" w:hAnsi="Times New Roman;serif"/>
          <w:b w:val="false"/>
          <w:color w:val="000000"/>
          <w:sz w:val="20"/>
        </w:rPr>
        <w:t xml:space="preserve">Interest income recorded from the mezzanine loan was less than $0.1 million and $0.2 million for the three and six months ended June 30, 2026, respectively, and $0.1 million and $0.2 million for the three and six months ended June 30, 2025, respectively.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2019, we, along with ACM, certain executives of ours and a consortium of independent outside investors, formed AMAC III, a multifamily-focused commercial real estate investment fund sponsored and managed by our chief executive officer and one of his immediate family members. We committed to a $30.0 million investment for an 18% interest in AMAC III. In 2019, AMAC III originated a $7.0 million mezzanine loan to a borrower with which we have an outstanding $34.0 million bridge loan. In 2020, for full satisfaction of the mezzanine loan, AMAC III became the owner of the property. Also in 2020, the $34.0 million bridge loan was refinanced with a $35.4 million bridge loan, which has an interest rate of SOFR plus 3.50%, and was scheduled to mature in February 2025 that we modified to extend the maturity to February 2028 in exchange for a $2.0 million paydown that was made in the first quarter of 2025. In September 2025, the loan was modified to extend the maturity to July 2028, adjust the interest rate to SOFR plus 1.00% with an all-in floor of 6.50%, and include a fixed pay rate of 1.00%, effective June 1, 2025, with the remaining balance deferred. Interest income recorded from the bridge loan was less than $0.1 million and $0.2 million for the three and six months ended June 30, 2026, respectively, and $0.7 million and $1.3 million for the three and six months ended June 30, 2025, respectively. See Note 8 for further details.</w:t>
      </w:r>
    </w:p>
    <w:p>
      <w:pPr>
        <w:pStyle w:val="TextBody"/>
        <w:bidi w:val="0"/>
        <w:spacing w:lineRule="auto" w:line="268" w:before="200" w:after="283"/>
        <w:jc w:val="left"/>
        <w:rPr/>
      </w:pPr>
      <w:r>
        <w:rPr>
          <w:rFonts w:ascii="Times New Roman;serif" w:hAnsi="Times New Roman;serif"/>
          <w:b w:val="false"/>
          <w:color w:val="000000"/>
          <w:sz w:val="20"/>
        </w:rPr>
        <w:t>In 2019, we converted an existing bridge loan into a $2.0 million mezzanine loan with a fixed interest rate of 10.00%. The underlying multifamily property is owned in part by a consortium of investors (which includes, among other unaffiliated investors, certain of our officers and our chief executive officer) which owns interests ranging from 10.5% to 12.0% in the borrowing entities</w:t>
      </w:r>
      <w:r>
        <w:rPr>
          <w:rFonts w:ascii="Times New Roman;serif" w:hAnsi="Times New Roman;serif"/>
          <w:b w:val="false"/>
          <w:color w:val="000000"/>
          <w:sz w:val="20"/>
          <w:shd w:fill="FFFFFF" w:val="clear"/>
        </w:rPr>
        <w:t>. The loan was scheduled to mature in May 2025, which was extended to</w:t>
      </w:r>
      <w:r>
        <w:rPr>
          <w:color w:val="000000"/>
        </w:rPr>
        <w:t xml:space="preserve"> </w:t>
      </w:r>
      <w:r>
        <w:rPr>
          <w:rFonts w:ascii="Times New Roman;serif" w:hAnsi="Times New Roman;serif"/>
          <w:b w:val="false"/>
          <w:color w:val="000000"/>
          <w:sz w:val="20"/>
        </w:rPr>
        <w:t>February 2029. Interest income recorded from this loan was less than $0.1 million and $0.1 million for the three and six months ended June 30, 2026, respectively, and less than $0.1 million and $0.1 million for the three and six months ended June 30, 2025, respectively.</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2018, we originated a $21.7 million bridge loan on a multifamily property owned in part by a consortium of investors (which includes, among other unaffiliated investors, certain of our officers and our chief executive officer) which owned 75% in the borrowing entity.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200" w:after="283"/>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loan had an interest rate of SOFR plus 4.75% with a SOFR floor of 0.25%, and was scheduled to mature in February 2025, which was modified to extend the maturity to February 2027 in exchange for $3.0 million of additional collateral and a $2.5 million paydown to be made in February 2026. In 2024, we recorded a $5.5 million specific reserve on this loan. In September 2025, this loan paid off and we fully recovered the specific reserve recorded. Interest income recorded from this loan was $0.5 million and $1.0 million for the three and six months ended June 30, 2025, respectively.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2017, we originated a $46.9 million Fannie Mae loan on a multifamily property owned in part by a consortium of investors (which includes, among other unaffiliated investors, certain of our officers) which owns a 17.6% interest in the borrowing entity. We carry a maximum loss-sharing obligation with Fannie Mae on this loan of up to 5% of the original UPB. The loan was paid off in October 2025. Servicing revenue recorded from this loan was less than $0.1 million for the three and six months ended June 30, 2025, respectively.</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2015, we invested $9.6 million for 50% of ACM’s indirect interest in a joint venture with a third party that was formed to invest in a residential mortgage banking business. In April 2025, the joint venture entered into an agreement to sell its interest in the residential mortgage banking business for $117.3 million. Based on the terms of this agreement, $22.0 million was allocated to us, which is equivalent to the carrying value of our investment, and therefore, we did not record a gain or loss on the transaction. The transaction closed once the entire sales price was paid, which was due in installments as follows: $15.0 million on or before April 1, 2025; $15.0 million on or before April 30, 2025; and the remaining $87.3 million on or before December 15, 2025. The first two installments were made in April 2025, for which we received $5.6 million as our allocable share, and the final installment was made in July 2025 for which we received $16.4 million as our allocable share. See Note 8 for further details. </w:t>
      </w:r>
    </w:p>
    <w:p>
      <w:pPr>
        <w:pStyle w:val="TextBody"/>
        <w:bidi w:val="0"/>
        <w:spacing w:lineRule="auto" w:line="268" w:before="200" w:after="283"/>
        <w:jc w:val="left"/>
        <w:rPr/>
      </w:pPr>
      <w:r>
        <w:rPr>
          <w:rFonts w:ascii="Times New Roman;serif" w:hAnsi="Times New Roman;serif"/>
          <w:b w:val="false"/>
          <w:color w:val="000000"/>
          <w:sz w:val="20"/>
        </w:rPr>
        <w:t xml:space="preserve">We, along with an executive officer of ours and a consortium of independent outside investors, hold equity investments in a portfolio of multifamily properties referred to as the “Lexford” portfolio, which is managed by an entity owned primarily by a consortium of affiliated investors, including our chief executive officer and an executive officer of ours. Based on the terms of the management contract, the management company is entitled to 4.75% of gross revenues of the underlying properties, along with the potential to share in the proceeds of a sale or restructuring of the debt. In 2018, the owners of Lexford restructured part of its debt and we originated 12 bridge loans totaling $280.5 million, which were used to repay in full certain existing mortgage debt and to renovate 72 multifamily properties included in the portfolio. The loans were originated in 2018, had interest rates of LIBOR plus 4.00% and were scheduled to mature in June 2021. During 2019, the borrower made payoffs and partial paydowns of principal totaling $250.0 million and in 2020, the remaining balance of the loans were refinanced with a $34.6 million Private Label loan, which has a fixed interest rate of 3.30% and matures in March 2030. In 2020, we sold the Private Label loan to an unconsolidated affiliate of ours. Further, as part of this 2018 restructuring, $50.0 million in unsecured financing was provided by an unsecured lender to certain parent entities of the property owners. ACM owns slightly less than half of the unsecured lender entity and, therefore, provided slightly less than half of the unsecured lender financing. </w:t>
      </w:r>
      <w:r>
        <w:rPr>
          <w:rFonts w:ascii="Times New Roman;serif" w:hAnsi="Times New Roman;serif"/>
          <w:b w:val="false"/>
          <w:color w:val="000000"/>
          <w:sz w:val="20"/>
          <w:shd w:fill="FFFFFF" w:val="clear"/>
        </w:rPr>
        <w:t>Separate from the</w:t>
      </w:r>
      <w:r>
        <w:rPr>
          <w:color w:val="000000"/>
        </w:rPr>
        <w:t xml:space="preserve"> </w:t>
      </w:r>
      <w:r>
        <w:rPr>
          <w:rFonts w:ascii="Times New Roman;serif" w:hAnsi="Times New Roman;serif"/>
          <w:b w:val="false"/>
          <w:color w:val="000000"/>
          <w:sz w:val="20"/>
        </w:rPr>
        <w:t xml:space="preserve">loans we originated in 2018, we provide limited (“bad boy”) guarantees for certain other debt controlled by Lexford. The bad boy guarantees may become a liability for us upon standard “bad” acts such as fraud or a material misrepresentation by Lexford or us. At June 30, 2026, this debt had an aggregate outstanding balance of approximately $295.0 million and is scheduled to mature through 2029. See Note 8 for further details.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Several of our executives, including our chief financial officer, corporate secretary and our chairman, chief executive officer and president, hold similar positions for ACM. Our chief executive officer and his affiliated entities (“the Kaufman Entities”) together beneficially own approximately 35% of the outstanding membership interests of ACM and certain of our employees and directors also hold an ownership interest in ACM. Furthermore, one of our directors serves as the trustee and co-trustee of two of the Kaufman Entities that hold membership interests in ACM. At June 30, 2026, ACM holds 2,535,870 shares of our common stock and 10,483,930 OP Units, which represents 6.3% of the voting power of our outstanding stock. Our Board of Directors approved a resolution under our charter allowing our chief executive officer and ACM, (which our chief executive officer has a controlling equity interest in), to own more than the 5% ownership interest limit of our common stock as stated in our amended charter.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200" w:after="283"/>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19 — Segment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described in Note 1, we operate through two business segments – our Structured Business and our Agency Business. The summarized statements of operations and balance sheet data, as well as certain other data, by segment are included in the following tables ($ in thousands). Specifically identifiable costs are recorded directly to each business segment. For items not specifically identifiable, costs have been allocated between the business segments using the most meaningful allocation methodologies, which were predominately direct labor costs (i.e., time spent working on each business segment). Such costs include, but are not limited to, compensation and employee related costs, selling and administrative expenses and stock-based compensation. Intersegment revenue and expenses have been eliminated in the computation of total revenue and operating income (loss).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chief operating decision maker (“CODM”) is Ivan Kaufman, our chief executive officer. The CODM uses both net interest income and net income (loss) for each segment predominantly in the annual budget and forecasting process. The CODM considers both budget and actual results on a quarterly basis for both profit measures when making decisions about the allocation of operating and capital resources to each segment. The CODM also uses segment net interest income and net income (loss) to assess the performance of each segment by comparing the results of each segment with one another and in determining the compensation of certain employees.</w:t>
      </w:r>
    </w:p>
    <w:tbl>
      <w:tblPr>
        <w:tblW w:w="10205" w:type="dxa"/>
        <w:jc w:val="left"/>
        <w:tblInd w:w="0" w:type="dxa"/>
        <w:tblLayout w:type="fixed"/>
        <w:tblCellMar>
          <w:top w:w="28" w:type="dxa"/>
          <w:left w:w="28" w:type="dxa"/>
          <w:bottom w:w="28" w:type="dxa"/>
          <w:right w:w="28" w:type="dxa"/>
        </w:tblCellMar>
      </w:tblPr>
      <w:tblGrid>
        <w:gridCol w:w="1936"/>
        <w:gridCol w:w="1479"/>
        <w:gridCol w:w="1494"/>
        <w:gridCol w:w="211"/>
        <w:gridCol w:w="826"/>
        <w:gridCol w:w="109"/>
        <w:gridCol w:w="109"/>
        <w:gridCol w:w="109"/>
        <w:gridCol w:w="109"/>
        <w:gridCol w:w="211"/>
        <w:gridCol w:w="721"/>
        <w:gridCol w:w="109"/>
        <w:gridCol w:w="109"/>
        <w:gridCol w:w="109"/>
        <w:gridCol w:w="109"/>
        <w:gridCol w:w="211"/>
        <w:gridCol w:w="616"/>
        <w:gridCol w:w="109"/>
        <w:gridCol w:w="109"/>
        <w:gridCol w:w="109"/>
        <w:gridCol w:w="109"/>
        <w:gridCol w:w="211"/>
        <w:gridCol w:w="826"/>
        <w:gridCol w:w="155"/>
      </w:tblGrid>
      <w:tr>
        <w:trPr/>
        <w:tc>
          <w:tcPr>
            <w:tcW w:w="1936"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4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Structured</w:t>
              <w:br/>
              <w:t>Business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Agency</w:t>
              <w:br/>
              <w:t>Business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Other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219,211 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230,858 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177,761 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53,097 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revenue:</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sales, including fee-based services,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servicing rights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MSRs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(18,247)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derivative instruments,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revenue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62,779 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40,192 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15,868 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 on real estate owned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loss sharing,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13,472 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144,848 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gain on real estate, income from equity affiliates and income taxes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(39,942)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(28,972)</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affiliates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(3,150)</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(30,165)</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(3,165)</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common stockholders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(48,953)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(37,342)</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200" w:after="283"/>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tbl>
      <w:tblPr>
        <w:tblW w:w="10205" w:type="dxa"/>
        <w:jc w:val="left"/>
        <w:tblInd w:w="0" w:type="dxa"/>
        <w:tblLayout w:type="fixed"/>
        <w:tblCellMar>
          <w:top w:w="28" w:type="dxa"/>
          <w:left w:w="28" w:type="dxa"/>
          <w:bottom w:w="28" w:type="dxa"/>
          <w:right w:w="28" w:type="dxa"/>
        </w:tblCellMar>
      </w:tblPr>
      <w:tblGrid>
        <w:gridCol w:w="1893"/>
        <w:gridCol w:w="1473"/>
        <w:gridCol w:w="1487"/>
        <w:gridCol w:w="211"/>
        <w:gridCol w:w="826"/>
        <w:gridCol w:w="109"/>
        <w:gridCol w:w="109"/>
        <w:gridCol w:w="109"/>
        <w:gridCol w:w="109"/>
        <w:gridCol w:w="211"/>
        <w:gridCol w:w="721"/>
        <w:gridCol w:w="109"/>
        <w:gridCol w:w="109"/>
        <w:gridCol w:w="109"/>
        <w:gridCol w:w="109"/>
        <w:gridCol w:w="211"/>
        <w:gridCol w:w="670"/>
        <w:gridCol w:w="109"/>
        <w:gridCol w:w="109"/>
        <w:gridCol w:w="109"/>
        <w:gridCol w:w="109"/>
        <w:gridCol w:w="211"/>
        <w:gridCol w:w="826"/>
        <w:gridCol w:w="157"/>
      </w:tblGrid>
      <w:tr>
        <w:trPr/>
        <w:tc>
          <w:tcPr>
            <w:tcW w:w="189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4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Structured</w:t>
              <w:br/>
              <w:t>Business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Agency</w:t>
              <w:br/>
              <w:t>Business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Other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4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229,980 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240,303 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171,578 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68,725 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revenue:</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sales, including fee-based services,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servicing rights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MSRs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(17,767)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derivative instruments,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revenue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61,685 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36,923 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4,258 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14,859 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6,802 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5,848 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loss sharing,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4,215 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91,909 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loss on real estate, income from equity affiliates and income taxes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38,501 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affiliates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(3,398)</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36,309 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Preferred stock dividends </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10,342 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2,015 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23,952 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200" w:after="283"/>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before="200" w:after="283"/>
        <w:jc w:val="left"/>
        <w:rPr/>
      </w:pPr>
      <w:r>
        <w:rPr/>
      </w:r>
    </w:p>
    <w:tbl>
      <w:tblPr>
        <w:tblW w:w="10205" w:type="dxa"/>
        <w:jc w:val="left"/>
        <w:tblInd w:w="0" w:type="dxa"/>
        <w:tblLayout w:type="fixed"/>
        <w:tblCellMar>
          <w:top w:w="28" w:type="dxa"/>
          <w:left w:w="28" w:type="dxa"/>
          <w:bottom w:w="28" w:type="dxa"/>
          <w:right w:w="28" w:type="dxa"/>
        </w:tblCellMar>
      </w:tblPr>
      <w:tblGrid>
        <w:gridCol w:w="1934"/>
        <w:gridCol w:w="1480"/>
        <w:gridCol w:w="1494"/>
        <w:gridCol w:w="211"/>
        <w:gridCol w:w="826"/>
        <w:gridCol w:w="109"/>
        <w:gridCol w:w="109"/>
        <w:gridCol w:w="109"/>
        <w:gridCol w:w="109"/>
        <w:gridCol w:w="211"/>
        <w:gridCol w:w="721"/>
        <w:gridCol w:w="109"/>
        <w:gridCol w:w="109"/>
        <w:gridCol w:w="109"/>
        <w:gridCol w:w="109"/>
        <w:gridCol w:w="211"/>
        <w:gridCol w:w="616"/>
        <w:gridCol w:w="109"/>
        <w:gridCol w:w="109"/>
        <w:gridCol w:w="109"/>
        <w:gridCol w:w="109"/>
        <w:gridCol w:w="211"/>
        <w:gridCol w:w="826"/>
        <w:gridCol w:w="156"/>
      </w:tblGrid>
      <w:tr>
        <w:trPr/>
        <w:tc>
          <w:tcPr>
            <w:tcW w:w="1934"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4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Structured</w:t>
              <w:br/>
              <w:t>Business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Agency</w:t>
              <w:br/>
              <w:t>Business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Other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443,605 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465,905 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352,963 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100,724 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112,942 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revenue:</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sales, including fee-based services,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servicing rights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MSRs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(36,540)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derivative instruments,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revenue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120,327 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32,821 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24,635 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 on real estate owned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26,150 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loss sharing,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loan losses,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159,872 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251,406 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loss on real estate, income from equity affiliates and income taxes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(38,910)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(18,137)</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(2,073)</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affiliates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(5,235)</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(19,141)</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20,684 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(3,112)</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common stockholders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(55,907)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16,082 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(36,713)</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200" w:after="283"/>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tbl>
      <w:tblPr>
        <w:tblW w:w="10205" w:type="dxa"/>
        <w:jc w:val="left"/>
        <w:tblInd w:w="0" w:type="dxa"/>
        <w:tblLayout w:type="fixed"/>
        <w:tblCellMar>
          <w:top w:w="28" w:type="dxa"/>
          <w:left w:w="28" w:type="dxa"/>
          <w:bottom w:w="28" w:type="dxa"/>
          <w:right w:w="28" w:type="dxa"/>
        </w:tblCellMar>
      </w:tblPr>
      <w:tblGrid>
        <w:gridCol w:w="1985"/>
        <w:gridCol w:w="1433"/>
        <w:gridCol w:w="1447"/>
        <w:gridCol w:w="211"/>
        <w:gridCol w:w="826"/>
        <w:gridCol w:w="109"/>
        <w:gridCol w:w="109"/>
        <w:gridCol w:w="109"/>
        <w:gridCol w:w="109"/>
        <w:gridCol w:w="211"/>
        <w:gridCol w:w="721"/>
        <w:gridCol w:w="109"/>
        <w:gridCol w:w="109"/>
        <w:gridCol w:w="109"/>
        <w:gridCol w:w="109"/>
        <w:gridCol w:w="211"/>
        <w:gridCol w:w="659"/>
        <w:gridCol w:w="109"/>
        <w:gridCol w:w="109"/>
        <w:gridCol w:w="109"/>
        <w:gridCol w:w="109"/>
        <w:gridCol w:w="211"/>
        <w:gridCol w:w="826"/>
        <w:gridCol w:w="156"/>
      </w:tblGrid>
      <w:tr>
        <w:trPr/>
        <w:tc>
          <w:tcPr>
            <w:tcW w:w="1985"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4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Structured</w:t>
              <w:br/>
              <w:t>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Agency</w:t>
              <w:br/>
              <w:t>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Other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460,067 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480,997 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336,829 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132,630 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144,168 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revenue:</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sales, including fee-based services,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servicing rights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MSRs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derivative instruments,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revenue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106,383 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120,405 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78,346 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8,871 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31,171 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10,276 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loss sharing,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credit losses, net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95,047 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172,337 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extinguishment of debt, loss on real estate, income from equity affiliates and income taxes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92,236 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(2,319)</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(4,258)</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affiliates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(6,989)</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79,690 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Preferred stock dividends </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20,684 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34,281 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54,389 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 Includes income (loss) allocated to the noncontrolling interest holders not allocated to the two reportable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200" w:after="283"/>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tbl>
      <w:tblPr>
        <w:tblW w:w="8435" w:type="dxa"/>
        <w:jc w:val="left"/>
        <w:tblInd w:w="0" w:type="dxa"/>
        <w:tblLayout w:type="fixed"/>
        <w:tblCellMar>
          <w:top w:w="28" w:type="dxa"/>
          <w:left w:w="28" w:type="dxa"/>
          <w:bottom w:w="28" w:type="dxa"/>
          <w:right w:w="28" w:type="dxa"/>
        </w:tblCellMar>
      </w:tblPr>
      <w:tblGrid>
        <w:gridCol w:w="1274"/>
        <w:gridCol w:w="1121"/>
        <w:gridCol w:w="1130"/>
        <w:gridCol w:w="228"/>
        <w:gridCol w:w="1169"/>
        <w:gridCol w:w="117"/>
        <w:gridCol w:w="109"/>
        <w:gridCol w:w="109"/>
        <w:gridCol w:w="109"/>
        <w:gridCol w:w="211"/>
        <w:gridCol w:w="976"/>
        <w:gridCol w:w="109"/>
        <w:gridCol w:w="109"/>
        <w:gridCol w:w="109"/>
        <w:gridCol w:w="109"/>
        <w:gridCol w:w="211"/>
        <w:gridCol w:w="1081"/>
        <w:gridCol w:w="154"/>
      </w:tblGrid>
      <w:tr>
        <w:trPr/>
        <w:tc>
          <w:tcPr>
            <w:tcW w:w="127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Structured Business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Agency Business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58,886 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103,077 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138,382 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and investments, net</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11,915,216 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11,915,216 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held-for-sale, net</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375,797 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mortgage servicing rights, net</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323,887 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held-to-maturity, net</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equity affiliates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82,762 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82,762 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owned, net</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545,946 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545,946 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other intangible assets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345,603 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440,403 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13,063,990 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1,288,835 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14,352,825 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obligations</w:t>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10,699,313 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11,058,590 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loss-sharing obligations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211,266 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10,910,579 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561,223 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11,471,802 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124,141 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35,258 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and investments, net</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11,934,248 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11,934,248 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held-for-sale, net</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409,081 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mortgage servicing rights, net</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held-to-maturity, net</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156,087 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equity affiliates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57,966 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owned, net</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498,938 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498,938 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other intangible assets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382,735 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13,045,786 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1,449,117 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14,494,903 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obligations</w:t>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10,625,053 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11,015,449 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loss-sharing obligations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241,873 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314,722 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10,866,926 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560,824 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11,427,750 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200" w:after="283"/>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tbl>
      <w:tblPr>
        <w:tblW w:w="10205" w:type="dxa"/>
        <w:jc w:val="left"/>
        <w:tblInd w:w="0" w:type="dxa"/>
        <w:tblLayout w:type="fixed"/>
        <w:tblCellMar>
          <w:top w:w="28" w:type="dxa"/>
          <w:left w:w="28" w:type="dxa"/>
          <w:bottom w:w="28" w:type="dxa"/>
          <w:right w:w="28" w:type="dxa"/>
        </w:tblCellMar>
      </w:tblPr>
      <w:tblGrid>
        <w:gridCol w:w="1321"/>
        <w:gridCol w:w="1082"/>
        <w:gridCol w:w="1086"/>
        <w:gridCol w:w="109"/>
        <w:gridCol w:w="109"/>
        <w:gridCol w:w="109"/>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56"/>
      </w:tblGrid>
      <w:tr>
        <w:trPr/>
        <w:tc>
          <w:tcPr>
            <w:tcW w:w="1321"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Origination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Structured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Bridge: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811,739 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887,280 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3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650,167 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634,286 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1,376,889 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1,358,330 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 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Mezzanine / Preferred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New Loan Originations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688,977 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716,544 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1,456,569 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1,463,665 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Loans Originated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 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405,384 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214,855 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659,784 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 Runoff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1,400,778 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941,650 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Agency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Origination Volumes by Investor: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Fannie Mae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683,206 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1,189,945 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Freddie Mac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FHA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Label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SFR - Fixed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New Loan Originations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1,076,763 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857,097 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1,784,340 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1,463,005 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 Commitment Volume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1,211,900 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852,766 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1,945,760 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1,498,167 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Agency Business Loan Sales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Fannie Mae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1,312,307 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1,013,021 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Freddie Mac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FHA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SFR - Fixed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1,143,438 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807,020 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1,814,410 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1,537,874 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Margin (fee-based services as a % of loan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MSR Rate (MSR income as a % of loan commitments)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before="0" w:after="0"/>
        <w:jc w:val="left"/>
        <w:rPr/>
      </w:pPr>
      <w:r>
        <w:rPr/>
      </w:r>
    </w:p>
    <w:p>
      <w:pPr>
        <w:pStyle w:val="TextBody"/>
        <w:bidi w:val="0"/>
        <w:spacing w:before="0" w:after="0"/>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200" w:after="283"/>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tbl>
      <w:tblPr>
        <w:tblW w:w="10205" w:type="dxa"/>
        <w:jc w:val="left"/>
        <w:tblInd w:w="0" w:type="dxa"/>
        <w:tblLayout w:type="fixed"/>
        <w:tblCellMar>
          <w:top w:w="28" w:type="dxa"/>
          <w:left w:w="28" w:type="dxa"/>
          <w:bottom w:w="28" w:type="dxa"/>
          <w:right w:w="28" w:type="dxa"/>
        </w:tblCellMar>
      </w:tblPr>
      <w:tblGrid>
        <w:gridCol w:w="956"/>
        <w:gridCol w:w="840"/>
        <w:gridCol w:w="846"/>
        <w:gridCol w:w="109"/>
        <w:gridCol w:w="109"/>
        <w:gridCol w:w="109"/>
        <w:gridCol w:w="262"/>
        <w:gridCol w:w="1345"/>
        <w:gridCol w:w="135"/>
        <w:gridCol w:w="109"/>
        <w:gridCol w:w="109"/>
        <w:gridCol w:w="109"/>
        <w:gridCol w:w="874"/>
        <w:gridCol w:w="874"/>
        <w:gridCol w:w="878"/>
        <w:gridCol w:w="109"/>
        <w:gridCol w:w="109"/>
        <w:gridCol w:w="109"/>
        <w:gridCol w:w="645"/>
        <w:gridCol w:w="645"/>
        <w:gridCol w:w="92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2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6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Key Servicing Metrics for Agency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Servicing Portfolio UPB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Wtd. Avg. Servicing Fee Rate (basis points)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Wtd. Avg. Life of Portfolio (years)</w:t>
            </w:r>
          </w:p>
        </w:tc>
      </w:tr>
      <w:tr>
        <w:trPr/>
        <w:tc>
          <w:tcPr>
            <w:tcW w:w="26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Fannie Mae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24,419,734 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r>
      <w:tr>
        <w:trPr/>
        <w:tc>
          <w:tcPr>
            <w:tcW w:w="2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Freddie Mac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7,672,121 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r>
      <w:tr>
        <w:trPr/>
        <w:tc>
          <w:tcPr>
            <w:tcW w:w="2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Label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2,477,077 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2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FHA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1,585,871 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r>
      <w:tr>
        <w:trPr/>
        <w:tc>
          <w:tcPr>
            <w:tcW w:w="2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Bridge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277,333 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2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SFR - Fixed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272,226 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2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36,704,362 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r>
      <w:tr>
        <w:trPr/>
        <w:tc>
          <w:tcPr>
            <w:tcW w:w="2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Fannie Mae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24,085,960 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2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Freddie Mac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7,455,088 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r>
      <w:tr>
        <w:trPr/>
        <w:tc>
          <w:tcPr>
            <w:tcW w:w="2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Label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2,558,048 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r>
      <w:tr>
        <w:trPr/>
        <w:tc>
          <w:tcPr>
            <w:tcW w:w="2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FHA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1,549,483 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r>
      <w:tr>
        <w:trPr/>
        <w:tc>
          <w:tcPr>
            <w:tcW w:w="2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Bridge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277,738 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2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SFR - Fixed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277,490 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2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36,203,807 </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76" w:before="0" w:after="0"/>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in conjunction with the unaudited consolidated interim financial statements, and related notes and the section entitled “Forward-Looking Statements” included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Through our Structured Business, we invest in a diversified portfolio of structured finance assets in the multifamily, SFR and commercial real estate markets, primarily consisting of bridge loans, in addition to mezzanine loans, junior participating interests in first mortgages and preferred equity. We also invest in real estate-related joint ventures and may directly acquire real property and invest in real estate-related notes and certain mortgage-related securities.</w:t>
      </w:r>
    </w:p>
    <w:p>
      <w:pPr>
        <w:pStyle w:val="TextBody"/>
        <w:bidi w:val="0"/>
        <w:spacing w:lineRule="auto" w:line="288" w:before="200" w:after="283"/>
        <w:jc w:val="left"/>
        <w:rPr/>
      </w:pPr>
      <w:r>
        <w:rPr>
          <w:rFonts w:ascii="Times New Roman;serif" w:hAnsi="Times New Roman;serif"/>
          <w:b w:val="false"/>
          <w:color w:val="000000"/>
          <w:sz w:val="20"/>
        </w:rPr>
        <w:t>Through our Agency Business, we originate, sell and service a range of multifamily finance products through Fannie Mae and Freddie Mac, Ginnie Mae, FHA and HUD. We retain the servicing rights and asset management responsibilities on substantially all loans we originate and sell under the GSE and HUD programs. We are an approved Fannie Mae DUS lender, seller/servicer nationally, a Freddie Mac Optigo</w:t>
      </w:r>
      <w:r>
        <w:rPr>
          <w:rFonts w:ascii="sans-serif" w:hAnsi="sans-serif"/>
          <w:b w:val="false"/>
          <w:color w:val="000000"/>
          <w:sz w:val="22"/>
        </w:rPr>
        <w:t>®</w:t>
      </w:r>
      <w:r>
        <w:rPr>
          <w:color w:val="000000"/>
        </w:rPr>
        <w:t xml:space="preserve"> </w:t>
      </w:r>
      <w:r>
        <w:rPr>
          <w:rFonts w:ascii="Times New Roman;serif" w:hAnsi="Times New Roman;serif"/>
          <w:b w:val="false"/>
          <w:color w:val="000000"/>
          <w:sz w:val="20"/>
        </w:rPr>
        <w:t>Conventional Loan and SBL lender, seller/servicer nationally and a HUD MAP and LEAN senior housing/healthcare lender nationally. We also originate and retain the servicing rights on permanent financing loans that are generally underwritten using the guidelines of our existing agency loans sold to the GSEs, which we refer to as “Private Label” loans, and originate and sell finance products through CMBS programs. We either sell the Private Label loans instantaneously or pool and securitize them and sell certificates in the securitizations to third-party investors, while retaining the highest risk bottom tranche certificate of the securitization.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conduct our operations to qualify as a REIT. A REIT is generally not subject to federal income tax on its REIT-taxable income that is distributed to its stockholders; provided that at least 90% of its taxable income is distributed and provided that certain other requirements are met.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operating performance is primarily driven by the following factors:</w:t>
      </w:r>
    </w:p>
    <w:p>
      <w:pPr>
        <w:pStyle w:val="TextBody"/>
        <w:bidi w:val="0"/>
        <w:spacing w:lineRule="auto" w:line="288" w:before="200" w:after="283"/>
        <w:jc w:val="left"/>
        <w:rPr/>
      </w:pPr>
      <w:r>
        <w:rPr>
          <w:rFonts w:ascii="Times New Roman;serif" w:hAnsi="Times New Roman;serif"/>
          <w:b/>
          <w:i/>
          <w:color w:val="000000"/>
          <w:sz w:val="20"/>
        </w:rPr>
        <w:t>Net interest income earned on our investments.</w:t>
      </w:r>
      <w:r>
        <w:rPr>
          <w:color w:val="000000"/>
        </w:rPr>
        <w:t xml:space="preserve"> </w:t>
      </w:r>
      <w:r>
        <w:rPr>
          <w:rFonts w:ascii="Times New Roman;serif" w:hAnsi="Times New Roman;serif"/>
          <w:b w:val="false"/>
          <w:color w:val="000000"/>
          <w:sz w:val="20"/>
        </w:rPr>
        <w:t>Net interest income represents the amount by which the interest income earned on our assets exceeds the interest expense incurred on our borrowings. If the yield on our assets increases or the cost of borrowings decreases, this will have a positive impact on earnings. However, if the yield earned on our assets decreases or the cost of borrowings increases, this will have a negative impact on earnings. Net interest income is also directly impacted by the size and performance of our asset portfolio. We recognize the bulk of our net interest income from our Structured Business. Additionally, we recognize net interest income from loans originated through our Agency Business, which are generally sold within 60 days of origination.</w:t>
      </w:r>
    </w:p>
    <w:p>
      <w:pPr>
        <w:pStyle w:val="TextBody"/>
        <w:bidi w:val="0"/>
        <w:spacing w:lineRule="auto" w:line="288" w:before="200" w:after="283"/>
        <w:jc w:val="left"/>
        <w:rPr/>
      </w:pPr>
      <w:r>
        <w:rPr>
          <w:rFonts w:ascii="Times New Roman;serif" w:hAnsi="Times New Roman;serif"/>
          <w:b/>
          <w:i/>
          <w:color w:val="000000"/>
          <w:sz w:val="20"/>
        </w:rPr>
        <w:t>Fees and other revenues recognized from originating, selling and servicing mortgage loans through the GSE and HUD programs.</w:t>
      </w:r>
      <w:r>
        <w:rPr>
          <w:color w:val="000000"/>
        </w:rPr>
        <w:t xml:space="preserve"> </w:t>
      </w:r>
      <w:r>
        <w:rPr>
          <w:rFonts w:ascii="Times New Roman;serif" w:hAnsi="Times New Roman;serif"/>
          <w:b w:val="false"/>
          <w:color w:val="000000"/>
          <w:sz w:val="20"/>
        </w:rPr>
        <w:t>Revenue recognized from the origination and sale of mortgage loans consists of gains on sale of loans (net of any direct loan origination costs incurred), commitment fees, broker fees, loan assumption fees and loan origination fees. These gains and fees are collectively referred to as gain on sales, including fee-based services, net. We record income from MSRs at the time of commitment to the borrower, which represents the fair value of the expected net future cash flows associated with the rights to service mortgage loans that we originate, with the recognition of a corresponding asset upon sale. We also record servicing revenue which consists of fees received for servicing mortgage loans, net of amortization on the MSR assets recorded. Although we have long-established relationships with the GSE and HUD agencies, our operating performance would be negatively impacted if our business relationships with these agencies deteriorate. Additionally, we also recognize revenue from originating, selling and servicing our Private Label loans.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One of our core business strategies is to generate additional agency lending opportunities by refinancing our multifamily balance sheet bridge loan portfolio when it is practical and appropriate to do so. We execute this strategy by underwriting the multifamily bridge loans we originate to a potential future agency financing. We then continue to work with our borrowers on this execution through the life cycle of the multifamily bridge loan. When effective, this strategy allows us to recapture refinancing opportunities, deleverage our balance sheet, and generate additional income streams through our capital-light Agency Business.</w:t>
      </w:r>
    </w:p>
    <w:p>
      <w:pPr>
        <w:pStyle w:val="TextBody"/>
        <w:bidi w:val="0"/>
        <w:spacing w:lineRule="auto" w:line="288" w:before="200" w:after="283"/>
        <w:jc w:val="left"/>
        <w:rPr/>
      </w:pPr>
      <w:r>
        <w:rPr>
          <w:rFonts w:ascii="Times New Roman;serif" w:hAnsi="Times New Roman;serif"/>
          <w:b/>
          <w:i/>
          <w:color w:val="000000"/>
          <w:sz w:val="20"/>
        </w:rPr>
        <w:t>Income earned from other structured investments.</w:t>
      </w:r>
      <w:r>
        <w:rPr>
          <w:color w:val="000000"/>
        </w:rPr>
        <w:t xml:space="preserve"> </w:t>
      </w:r>
      <w:r>
        <w:rPr>
          <w:rFonts w:ascii="Times New Roman;serif" w:hAnsi="Times New Roman;serif"/>
          <w:b w:val="false"/>
          <w:color w:val="000000"/>
          <w:sz w:val="20"/>
        </w:rPr>
        <w:t>Our other structured investments are primarily comprised of investments in equity affiliates, which represent unconsolidated joint venture investments formed to acquire, develop and/or sell real estate-related assets. Operating results from these investments can be difficult to predict and can vary significantly period-to-period. We also periodically receive distributions from our equity investments. It is difficult to forecast the timing of such payments, which can be substantial in any given quarter. We account for structured transactions within our Structured Business.</w:t>
      </w:r>
    </w:p>
    <w:p>
      <w:pPr>
        <w:pStyle w:val="TextBody"/>
        <w:bidi w:val="0"/>
        <w:spacing w:lineRule="auto" w:line="288" w:before="200" w:after="283"/>
        <w:jc w:val="left"/>
        <w:rPr/>
      </w:pPr>
      <w:r>
        <w:rPr>
          <w:rFonts w:ascii="Times New Roman;serif" w:hAnsi="Times New Roman;serif"/>
          <w:b/>
          <w:i/>
          <w:color w:val="000000"/>
          <w:sz w:val="20"/>
        </w:rPr>
        <w:t>Credit quality of our loans and investments, including our servicing portfolio.</w:t>
      </w:r>
      <w:r>
        <w:rPr>
          <w:color w:val="000000"/>
        </w:rPr>
        <w:t xml:space="preserve"> </w:t>
      </w:r>
      <w:r>
        <w:rPr>
          <w:rFonts w:ascii="Times New Roman;serif" w:hAnsi="Times New Roman;serif"/>
          <w:b w:val="false"/>
          <w:color w:val="000000"/>
          <w:sz w:val="20"/>
        </w:rPr>
        <w:t>Effective portfolio management is essential to maximize the performance and value of our loan and investment and servicing portfolios. Maintaining the credit quality of the loans in our portfolios is of critical importance. Loans that do not perform in accordance with their terms may have a negative impact on earnings and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76" w:before="0" w:after="0"/>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Significant Developments During the Second Quarter of 2026</w:t>
      </w:r>
    </w:p>
    <w:p>
      <w:pPr>
        <w:pStyle w:val="TextBody"/>
        <w:bidi w:val="0"/>
        <w:spacing w:lineRule="auto" w:line="288" w:before="200" w:after="120"/>
        <w:jc w:val="left"/>
        <w:rPr>
          <w:rFonts w:ascii="Times New Roman;serif" w:hAnsi="Times New Roman;serif"/>
          <w:b/>
          <w:i/>
          <w:color w:val="000000"/>
          <w:sz w:val="20"/>
        </w:rPr>
      </w:pPr>
      <w:r>
        <w:rPr>
          <w:rFonts w:ascii="Times New Roman;serif" w:hAnsi="Times New Roman;serif"/>
          <w:b/>
          <w:i/>
          <w:color w:val="000000"/>
          <w:sz w:val="20"/>
        </w:rPr>
        <w:t>Financing and Capital Markets Activity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Unwound CLO 17, redeeming the remaining outstanding notes totaling $787.0 million, which were repaid from the availability in our credit and repurchase facilities; and</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We repurchased 3,550,691 shares of our common stock under our share repurchase program at a cost of $20.8 million, excluding broker commission fees, representing an average cost of $5.85 per share.</w:t>
      </w:r>
    </w:p>
    <w:p>
      <w:pPr>
        <w:pStyle w:val="TextBody"/>
        <w:bidi w:val="0"/>
        <w:spacing w:lineRule="auto" w:line="417" w:before="200" w:after="283"/>
        <w:jc w:val="left"/>
        <w:rPr>
          <w:rFonts w:ascii="Times New Roman;serif" w:hAnsi="Times New Roman;serif"/>
          <w:b/>
          <w:i/>
          <w:color w:val="000000"/>
          <w:sz w:val="20"/>
        </w:rPr>
      </w:pPr>
      <w:r>
        <w:rPr>
          <w:rFonts w:ascii="Times New Roman;serif" w:hAnsi="Times New Roman;serif"/>
          <w:b/>
          <w:i/>
          <w:color w:val="000000"/>
          <w:sz w:val="20"/>
        </w:rPr>
        <w:t>Structured Business Activity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Balance sheet portfolio of $12.11 billion; loan originations of $689.0 million outpaced loan runoff totaling $539.7 million;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modified 7 loans with a total UPB of $386.9 million (see Note 3 for details);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foreclosed on and took back the underlying collateral on five loans with an aggregate net carrying value of $110.1 million and recorded a loss of $2.5 million through provision for credit losses. We sold two foreclosed properties, along with three existing REO assets for $79.8 million and recognized an aggregate gain of $0.1 million through gain (loss) on real estate. See Notes 3 and 9 for details.</w:t>
      </w:r>
    </w:p>
    <w:p>
      <w:pPr>
        <w:pStyle w:val="TextBody"/>
        <w:bidi w:val="0"/>
        <w:spacing w:lineRule="auto" w:line="288" w:before="200" w:after="120"/>
        <w:jc w:val="left"/>
        <w:rPr/>
      </w:pPr>
      <w:r>
        <w:rPr>
          <w:rFonts w:ascii="Times New Roman;serif" w:hAnsi="Times New Roman;serif"/>
          <w:b/>
          <w:i/>
          <w:color w:val="000000"/>
          <w:sz w:val="20"/>
        </w:rPr>
        <w:t xml:space="preserve">Agency Business Activity. </w:t>
      </w:r>
      <w:r>
        <w:rPr>
          <w:rFonts w:ascii="Times New Roman;serif" w:hAnsi="Times New Roman;serif"/>
          <w:b w:val="false"/>
          <w:color w:val="000000"/>
          <w:sz w:val="20"/>
        </w:rPr>
        <w:t>Servicing portfolio of $36.70 billion (up $393.3 million) with loan originations totaling $1.08 billion.</w:t>
      </w:r>
    </w:p>
    <w:p>
      <w:pPr>
        <w:pStyle w:val="TextBody"/>
        <w:bidi w:val="0"/>
        <w:spacing w:lineRule="auto" w:line="288" w:before="200" w:after="120"/>
        <w:jc w:val="left"/>
        <w:rPr/>
      </w:pPr>
      <w:r>
        <w:rPr>
          <w:rFonts w:ascii="Times New Roman;serif" w:hAnsi="Times New Roman;serif"/>
          <w:b/>
          <w:i/>
          <w:color w:val="000000"/>
          <w:sz w:val="20"/>
        </w:rPr>
        <w:t>Subsequent Event.</w:t>
      </w:r>
      <w:r>
        <w:rPr>
          <w:color w:val="000000"/>
        </w:rPr>
        <w:t xml:space="preserve"> </w:t>
      </w:r>
      <w:r>
        <w:rPr>
          <w:rFonts w:ascii="Times New Roman;serif" w:hAnsi="Times New Roman;serif"/>
          <w:b w:val="false"/>
          <w:color w:val="000000"/>
          <w:sz w:val="20"/>
        </w:rPr>
        <w:t>In July 2026, we issued $375.0 million of 6.25% Convertible Notes due July 2029. We used the net proceeds to repurchase 2,140,300 shares of our common stock for $11.6 million, repurchase $102.7 million of our common stock pursuant to a prepaid forward transaction and used the remaining net proceeds, together with cash on hand, to redeem, in full, our outstanding $270.0 million 4.50% senior unsecured notes due in September 2026. See Note 10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 w:after="283"/>
        <w:jc w:val="left"/>
        <w:rPr/>
      </w:pPr>
      <w:r>
        <w:rPr/>
      </w:r>
    </w:p>
    <w:p>
      <w:pPr>
        <w:pStyle w:val="TextBody"/>
        <w:bidi w:val="0"/>
        <w:spacing w:lineRule="auto" w:line="288" w:before="20" w:after="283"/>
        <w:jc w:val="left"/>
        <w:rPr>
          <w:rFonts w:ascii="Times New Roman;serif" w:hAnsi="Times New Roman;serif"/>
          <w:b/>
          <w:color w:val="000000"/>
          <w:sz w:val="20"/>
        </w:rPr>
      </w:pPr>
      <w:r>
        <w:rPr>
          <w:rFonts w:ascii="Times New Roman;serif" w:hAnsi="Times New Roman;serif"/>
          <w:b/>
          <w:color w:val="000000"/>
          <w:sz w:val="20"/>
        </w:rPr>
        <w:t>Current Market Conditions, Risks and Recent Trends</w:t>
      </w:r>
    </w:p>
    <w:p>
      <w:pPr>
        <w:pStyle w:val="TextBody"/>
        <w:bidi w:val="0"/>
        <w:spacing w:before="20" w:after="283"/>
        <w:jc w:val="left"/>
        <w:rPr/>
      </w:pPr>
      <w:r>
        <w:rPr/>
      </w:r>
    </w:p>
    <w:p>
      <w:pPr>
        <w:pStyle w:val="TextBody"/>
        <w:bidi w:val="0"/>
        <w:spacing w:lineRule="auto" w:line="288" w:before="20" w:after="283"/>
        <w:jc w:val="left"/>
        <w:rPr>
          <w:rFonts w:ascii="Times New Roman;serif" w:hAnsi="Times New Roman;serif"/>
          <w:b w:val="false"/>
          <w:color w:val="000000"/>
          <w:sz w:val="20"/>
        </w:rPr>
      </w:pPr>
      <w:r>
        <w:rPr>
          <w:rFonts w:ascii="Times New Roman;serif" w:hAnsi="Times New Roman;serif"/>
          <w:b w:val="false"/>
          <w:color w:val="000000"/>
          <w:sz w:val="20"/>
        </w:rPr>
        <w:t>During 2025, the Federal Reserve lowered the federal funds rate three times for an aggregate 75-basis point reduction. During the first half of 2026, the Federal Reserve maintained the target range for the federal funds rate at 3.50% to 3.75%. Current market expectations remain uncertain and have shifted during 2026, with the timing and direction of any additional monetary policy actions dependent on inflation, labor market conditions, economic growth and financial market conditions. Although short-term rates have declined from their peaks, the rate environment remains elevated, has remained elevated longer than anticipated and could persist even longer if inflation and other key economic indicators do not align with the Federal Reserve’s expectations. Additionally, long-term rates remain volatile following the current administration’s adoption of increased tariffs, related litigation, geopolitical developments, including the conflict involving Iran and related energy market volatility, and broader macroeconomic uncertainty. Expectations for long-term rates in 2026 remain mixed, reflecting uncertainty around long-term inflation, fiscal policy, increased federal spending and larger deficits, including the effects of the July 2025 enactment of the OBBBA, as described below. Accordingly, it remains difficult to predict where short- and long-term rates will settle during the remainder of 2026.</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prolonged rate environment has resulted in, and may continue to result in, higher payment delinquencies and defaults, more loan modifications and foreclosures and declines in real estate values in certain asset classes, which have adversely affected, and may continue to adversely affect, our results of operations, financial condition, business prospects, liquidity and ability to make distributions to stockholders. It has also made it more difficult to resolve delinquent loans, contributing to additional foreclosures and REO assets on our balance sheet. When we take title to assets through foreclosure, we generally seek to dispose of these assets through third-party sales. However, depending on market conditions and asset-specific factors, we may evaluate other alternatives, such as recapitalizations and joint venture structures, intended to optimize recoveries and reduce our REO exposure. These efforts may include enhanced property management, capital improvements and deferred maintenance, re-leasing vacant space, renewing or restructuring leases and other stabilization initiatives designed to improve occupancy, cash flow and marketability.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continue to apply disciplined underwriting and risk management practices and work closely with borrowers to protect portfolio quality and mitigate potential losses, including, where appropriate, modifying loan terms. However, given the current interest rate environment and inflationary pressures, we cannot assure that our loan portfolio will continue to perform in accordance with current contractual terms.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An elevated rate environment generally benefits our net interest income because our structured loan portfolio exceeds our corresponding debt balances, the substantial majority of our loan portfolio is floating rate based on SOFR and a meaningful portion of our debt, including senior unsecured notes, is fixed rate. As a result, increases in interest income generally tend to outpace increases in interest expense, and earnings on our cash and escrow balances also benefit from higher rates. These benefits, however, have been increasingly offset by the adverse effects of a prolonged elevated rate environment, including higher delinquencies, more loan modifications and foreclosures, lower loan originations, reduced cash and escrow balances and pressure on certain commercial real estate values, which can result in higher reserves when collateral values are considered insufficient to fully repay loans.</w:t>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76" w:before="0" w:after="0"/>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reductions in short-term interest rates have reduced, and are expected to continue to reduce, net interest income on our floating rate loan portfolio and earnings on our cash and escrow balances. In addition, if short-term interest rates decline further, our interest income and earnings on cash and escrow balances could decline further, while the benefit to our interest expense may be limited to the extent our debt is fixed rate or does not reprice at the same pace. Conversely, if short-term or long-term rates increase, or remain elevated for an extended period, borrower performance, collateral values, loan origination volumes, transaction activity and our ability to resolve delinquent loans could be further adversely affected. For additional information, see “Quantitative and Qualitative Disclosures about Market Risk” below.</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Elevated and volatile interest rates, together with geopolitical uncertainty, including the conflict involving Iran, have also disrupted portions of the financial services, real estate and credit markets. These conditions have contributed to weaker performance in certain of our legacy assets, leading to increased defaults and delinquencies. If these conditions continue to affect our borrowers and their tenants, or if other risks described in our SEC filings materialize, our liquidity and capital resources could be further adversely affected. Notwithstanding these conditions, we have continued to access capital through a variety of financing vehicles to support our operations and strengthen our business. In addition, while a majority of our cash is held at major financial institutions and balances frequently exceed insured limits, we mitigate this exposure by diversifying deposits across counterparties. Because these deposits are generally demand deposits maintained with institutions with reputable credit, we believe we bear minimal credit risk.</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are a national originator with Fannie Mae and Freddie Mac, and the GSEs continue to be the most significant providers of capital to the multifamily market. FHFA set the 2026 Caps for Fannie Mae and Freddie Mac at $88 billion for each enterprise, or $176 billion in the aggregate, up from $73 billion for each enterprise in 2025. FHFA has stated that it will continue to monitor the market and may increase the 2026 Caps if warranted but will not reduce them if the market is smaller than initially projected. Loans supporting workforce housing, which preserve affordable rents in multifamily properties typically without public subsidies, will continue to be excluded from the 2026 Caps. In addition, at least 50% of multifamily volume must continue to support mission-driven affordable housing, with affordability levels ranging from 80% to 120% of area median income, depending on the market. Our GSE originations remain highly attractive executions because they generate significant gains on sale, non-cash gains related to MSRs and servicing revenues. At the same time, we cannot predict whether FHFA may impose stricter limitations on GSE multifamily production in the future.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July 4, 2025, the OBBBA was enacted into law. The legislation includes significant changes to U.S. tax law and other policy areas that may affect our business and the broader commercial real estate finance markets. Based on our evaluation to date, we expect certain changes under the OBBBA, including changes affecting the application of Section 162(m), to increase our current tax expense and effective tax rate. In addition, a separate expansion of Section 162(m), enacted under prior law and scheduled to take effect in 2027, could further increase our annual effective tax rate and current tax expense, potentially materially. More broadly, elements of the OBBBA, including changes in federal spending, fiscal priorities and other policy provisions, may also influence capital markets, the interest rate environment and demand for commercial real estate finance. Because implementation of these tax and other provisions remains subject to further interpretation and guidance, the ultimate impact on our business, financial condition, results of operations and the real estate markets in general could differ from our current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Changes in Financial Condition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Assets — Comparison of balances at June 30, 2026 to December 31, 2025: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Structured loan and investment portfolio balance was approximately $12.11 billion at both June 30, 2026 and December 31, 2025. There was a slight decrease from December 31, 2025, which was primarily due to loans we foreclosed on and received ownership of the underlying collateral as REO assets, substantially offset by loan originations exceeding loan runoff by $55.8 million (see below for details).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portfolio had a weighted average current interest pay rate of 6.50% and 6.49% at June 30, 2026 and December 31, 2025, respectively. Including certain fees earned and costs, the weighted average current interest rate was 6.95% and 7.08% at June 30, 2026 and December 31, 2025, respectively. Our debt that finances our Structured loan and investment portfolio totaled $10.48 billion and $10.46 billion at June 30, 2026 and December 31, 2025, respectively, with a weighted average funding cost of 6.10% and 6.16%, respectively, which excludes financing costs. Including financing costs, the weighted average funding rate was 6.38% and 6.45%, at June 30, 2026 and December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76" w:before="0" w:after="0"/>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Activity from our Structured Business portfolio is comprised of the following ($ in thousands):</w:t>
      </w:r>
    </w:p>
    <w:tbl>
      <w:tblPr>
        <w:tblW w:w="8423" w:type="dxa"/>
        <w:jc w:val="left"/>
        <w:tblInd w:w="0" w:type="dxa"/>
        <w:tblLayout w:type="fixed"/>
        <w:tblCellMar>
          <w:top w:w="28" w:type="dxa"/>
          <w:left w:w="28" w:type="dxa"/>
          <w:bottom w:w="28" w:type="dxa"/>
          <w:right w:w="28" w:type="dxa"/>
        </w:tblCellMar>
      </w:tblPr>
      <w:tblGrid>
        <w:gridCol w:w="934"/>
        <w:gridCol w:w="821"/>
        <w:gridCol w:w="824"/>
        <w:gridCol w:w="491"/>
        <w:gridCol w:w="1925"/>
        <w:gridCol w:w="254"/>
        <w:gridCol w:w="109"/>
        <w:gridCol w:w="109"/>
        <w:gridCol w:w="109"/>
        <w:gridCol w:w="403"/>
        <w:gridCol w:w="1864"/>
        <w:gridCol w:w="208"/>
        <w:gridCol w:w="109"/>
        <w:gridCol w:w="109"/>
        <w:gridCol w:w="154"/>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originated</w:t>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688,977 </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1,456,569 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loans</w:t>
            </w:r>
          </w:p>
        </w:tc>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interest rate</w:t>
            </w:r>
          </w:p>
        </w:tc>
        <w:tc>
          <w:tcPr>
            <w:tcW w:w="2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 runoff</w:t>
            </w:r>
          </w:p>
        </w:tc>
        <w:tc>
          <w:tcPr>
            <w:tcW w:w="4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539,745 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1,400,778 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loans</w:t>
            </w:r>
          </w:p>
        </w:tc>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interest rate</w:t>
            </w:r>
          </w:p>
        </w:tc>
        <w:tc>
          <w:tcPr>
            <w:tcW w:w="2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8.09</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modified</w:t>
            </w:r>
          </w:p>
        </w:tc>
        <w:tc>
          <w:tcPr>
            <w:tcW w:w="4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386,923 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865,723 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loans</w:t>
            </w:r>
          </w:p>
        </w:tc>
        <w:tc>
          <w:tcPr>
            <w:tcW w:w="24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extended</w:t>
            </w:r>
          </w:p>
        </w:tc>
        <w:tc>
          <w:tcPr>
            <w:tcW w:w="4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953,808 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2,377,541 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loans</w:t>
            </w:r>
          </w:p>
        </w:tc>
        <w:tc>
          <w:tcPr>
            <w:tcW w:w="2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Loans held-for-sale from the Agency Business decreased $33.3 million, primarily from loan sales exceeding originations by $30.1 million as noted in the following table ($ in thousands):</w:t>
      </w:r>
    </w:p>
    <w:tbl>
      <w:tblPr>
        <w:tblW w:w="7998" w:type="dxa"/>
        <w:jc w:val="left"/>
        <w:tblInd w:w="0" w:type="dxa"/>
        <w:tblLayout w:type="fixed"/>
        <w:tblCellMar>
          <w:top w:w="28" w:type="dxa"/>
          <w:left w:w="28" w:type="dxa"/>
          <w:bottom w:w="28" w:type="dxa"/>
          <w:right w:w="28" w:type="dxa"/>
        </w:tblCellMar>
      </w:tblPr>
      <w:tblGrid>
        <w:gridCol w:w="544"/>
        <w:gridCol w:w="477"/>
        <w:gridCol w:w="479"/>
        <w:gridCol w:w="234"/>
        <w:gridCol w:w="1085"/>
        <w:gridCol w:w="121"/>
        <w:gridCol w:w="109"/>
        <w:gridCol w:w="109"/>
        <w:gridCol w:w="109"/>
        <w:gridCol w:w="211"/>
        <w:gridCol w:w="976"/>
        <w:gridCol w:w="109"/>
        <w:gridCol w:w="109"/>
        <w:gridCol w:w="109"/>
        <w:gridCol w:w="109"/>
        <w:gridCol w:w="234"/>
        <w:gridCol w:w="1085"/>
        <w:gridCol w:w="121"/>
        <w:gridCol w:w="109"/>
        <w:gridCol w:w="109"/>
        <w:gridCol w:w="109"/>
        <w:gridCol w:w="211"/>
        <w:gridCol w:w="976"/>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Loan Originations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Loan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Loan Originations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Loan Sales</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Fannie Mae</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619,130 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740,728 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1,189,945 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1,312,307 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Freddie Mac</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428,278 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519,533 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412,934 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FHA</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53,590 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SFR - Fixed Rate</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21,272 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21,272 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1,076,763 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1,143,438 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1,784,340 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1,814,410 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Investments in equity affiliates increased $24.8 million, primarily due to a $25.0 million investment in a multifamily property in the second quarter.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Real estate owned increased $47.0 million, primarily due to the foreclosure of eight multifamily bridge loans totaling $171.6 million, through which we took back the underlying collateral, partially offset by the sale of seven multifamily properties for $112.8 million.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 decreased $20.6 million, primarily due to the payoff of unsecured line of credit loans and a decrease in interest receivable mainly due to the collection of deferred interest on modified/delinquent loans.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Liabilities – Comparison of balances at June 30, 2026 to December 31, 2025: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Credit and repurchase facilities increased $662.6 million, primarily due to the transfer of loans into repurchase facilities from the unwind of CLO 17.</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Securitized debt decreased $496.0 million, primarily due to the unwind of CLO 17 totaling $1.06 billion and paydowns on our existing securitizations totaling $182.7 million, partially offset by the issuance of CLO 21 where we issued $674.0 million of notes to third-party investors.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 decreased $171.3 million, primarily due to the redemption of our $175.0 million 5.00% senior unsecured notes in April 2026.</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Notes payable — real estate owned increased $47.4 million, primarily due to the addition of notes payable on three new REO assets and additional financing received on two existing REO assets.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liabilities decreased $14.5 million, primarily due to payments of accrued incentive compensation and commissions during the first half of 2026, related to 2025 performance.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Equity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See Note 16 for details of our common stock, dividends declared and deferred compensation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76" w:before="0" w:after="0"/>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Agency Servicing Portfolio</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characteristics of our loan servicing portfolio collateralizing our mortgage servicing rights and servicing revenue ($ in thousands):</w:t>
      </w:r>
    </w:p>
    <w:tbl>
      <w:tblPr>
        <w:tblW w:w="11456"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96"/>
        <w:gridCol w:w="961"/>
        <w:gridCol w:w="109"/>
        <w:gridCol w:w="109"/>
        <w:gridCol w:w="109"/>
        <w:gridCol w:w="109"/>
        <w:gridCol w:w="185"/>
        <w:gridCol w:w="185"/>
        <w:gridCol w:w="186"/>
        <w:gridCol w:w="109"/>
        <w:gridCol w:w="109"/>
        <w:gridCol w:w="109"/>
        <w:gridCol w:w="255"/>
        <w:gridCol w:w="255"/>
        <w:gridCol w:w="256"/>
        <w:gridCol w:w="109"/>
        <w:gridCol w:w="109"/>
        <w:gridCol w:w="109"/>
        <w:gridCol w:w="255"/>
        <w:gridCol w:w="255"/>
        <w:gridCol w:w="256"/>
        <w:gridCol w:w="109"/>
        <w:gridCol w:w="109"/>
        <w:gridCol w:w="109"/>
        <w:gridCol w:w="209"/>
        <w:gridCol w:w="212"/>
        <w:gridCol w:w="257"/>
        <w:gridCol w:w="109"/>
        <w:gridCol w:w="109"/>
        <w:gridCol w:w="109"/>
        <w:gridCol w:w="210"/>
        <w:gridCol w:w="210"/>
        <w:gridCol w:w="466"/>
        <w:gridCol w:w="109"/>
        <w:gridCol w:w="109"/>
        <w:gridCol w:w="109"/>
        <w:gridCol w:w="356"/>
        <w:gridCol w:w="110"/>
        <w:gridCol w:w="246"/>
        <w:gridCol w:w="109"/>
        <w:gridCol w:w="109"/>
        <w:gridCol w:w="109"/>
        <w:gridCol w:w="249"/>
        <w:gridCol w:w="249"/>
        <w:gridCol w:w="553"/>
        <w:gridCol w:w="109"/>
        <w:gridCol w:w="109"/>
        <w:gridCol w:w="109"/>
        <w:gridCol w:w="243"/>
        <w:gridCol w:w="243"/>
        <w:gridCol w:w="640"/>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3" w:type="dxa"/>
            <w:gridSpan w:val="5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7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Product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Portfolio UPB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Loan 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Wtd. Avg. Age of Portfolio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Wtd. Avg. Life of Portfolio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Interest Rate Type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Wtd. Avg. Note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Annualized Prepayments as a % of Portfolio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Delinquencies as a % of Portfolio (2)</w:t>
            </w:r>
          </w:p>
        </w:tc>
      </w:tr>
      <w:tr>
        <w:trPr/>
        <w:tc>
          <w:tcPr>
            <w:tcW w:w="7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Fixed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Adjustable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7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Fannie Mae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24,419,734 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4.70 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5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3.39 </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Freddie Mac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7,672,121 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4.99 </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3.76 </w:t>
            </w:r>
          </w:p>
        </w:tc>
        <w:tc>
          <w:tcPr>
            <w:tcW w:w="5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3.33 </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Private Label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2,477,077 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4.18 </w:t>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FHA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1,585,871 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3.95 </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0.46 </w:t>
            </w:r>
          </w:p>
        </w:tc>
        <w:tc>
          <w:tcPr>
            <w:tcW w:w="5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Bridge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277,333 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6.27 </w:t>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SFR - Fixed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272,226 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5.73 </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36,704,362 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4.71 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2.57 </w:t>
            </w:r>
          </w:p>
        </w:tc>
        <w:tc>
          <w:tcPr>
            <w:tcW w:w="5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3.06 </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3" w:type="dxa"/>
            <w:gridSpan w:val="5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Fannie Mae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24,085,960 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2,702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4.68 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3.58 </w:t>
            </w:r>
          </w:p>
        </w:tc>
        <w:tc>
          <w:tcPr>
            <w:tcW w:w="5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2.59 </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Freddie Mac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7,455,088 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4.98 </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3.63 </w:t>
            </w:r>
          </w:p>
        </w:tc>
        <w:tc>
          <w:tcPr>
            <w:tcW w:w="5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3.96 </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Private Label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2,558,048 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4.16 </w:t>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0.44 </w:t>
            </w:r>
          </w:p>
        </w:tc>
        <w:tc>
          <w:tcPr>
            <w:tcW w:w="5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FHA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1,549,483 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3.91 </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5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Bridge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277,738 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6.31 </w:t>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SFR - Fixed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277,490 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5.62 </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2.42 </w:t>
            </w:r>
          </w:p>
        </w:tc>
        <w:tc>
          <w:tcPr>
            <w:tcW w:w="5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36,203,807 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4.69 </w:t>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3.22 </w:t>
            </w:r>
          </w:p>
        </w:tc>
        <w:tc>
          <w:tcPr>
            <w:tcW w:w="5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6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(1)Prepayments reflect loans repaid prior to six months from the loan maturity. The majority of our loan servicing portfolio has a prepayment protection term and therefore, we may collect a prepayment fee which is included as a component of servicing revenue, net. See Note 5 for details.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(2)Delinquent loans reflect loans that are contractually 60 days or more past due. At June 30, 2026 and December 31, 2025, delinquent loans totaled $1.12 billion and $959.0 million, respectively. At June 30, 2026, there were four loans totaling $22.6 million in bankruptcy and forty-two loans totaling $422.2 million were foreclosed. At December 31, 2025, there were five loans totaling $56.0 million in bankruptcy and nineteen loans totaling $176.5 million were foreclosed.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Agency Business servicing portfolio represents commercial real estate loans, which are generally transferred or sold within 60 days from the date the loan is funded. Primarily all loans in our servicing portfolio are collateralized by multifamily properties. In addition, we are generally required to share in the risk of any losses associated with loans sold under the Fannie Mae DUS program, see Note 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76" w:before="0" w:after="0"/>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Comparison of Results of Operations for the Three Months Ended June 30, 2026 and 2025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our consolidated operating results ($ in thousands):</w:t>
      </w:r>
    </w:p>
    <w:tbl>
      <w:tblPr>
        <w:tblW w:w="10205" w:type="dxa"/>
        <w:jc w:val="left"/>
        <w:tblInd w:w="0" w:type="dxa"/>
        <w:tblLayout w:type="fixed"/>
        <w:tblCellMar>
          <w:top w:w="28" w:type="dxa"/>
          <w:left w:w="28" w:type="dxa"/>
          <w:bottom w:w="28" w:type="dxa"/>
          <w:right w:w="28" w:type="dxa"/>
        </w:tblCellMar>
      </w:tblPr>
      <w:tblGrid>
        <w:gridCol w:w="1917"/>
        <w:gridCol w:w="1427"/>
        <w:gridCol w:w="1441"/>
        <w:gridCol w:w="211"/>
        <w:gridCol w:w="826"/>
        <w:gridCol w:w="109"/>
        <w:gridCol w:w="109"/>
        <w:gridCol w:w="109"/>
        <w:gridCol w:w="109"/>
        <w:gridCol w:w="211"/>
        <w:gridCol w:w="826"/>
        <w:gridCol w:w="109"/>
        <w:gridCol w:w="109"/>
        <w:gridCol w:w="109"/>
        <w:gridCol w:w="109"/>
        <w:gridCol w:w="211"/>
        <w:gridCol w:w="768"/>
        <w:gridCol w:w="109"/>
        <w:gridCol w:w="109"/>
        <w:gridCol w:w="109"/>
        <w:gridCol w:w="109"/>
        <w:gridCol w:w="227"/>
        <w:gridCol w:w="227"/>
        <w:gridCol w:w="229"/>
        <w:gridCol w:w="109"/>
        <w:gridCol w:w="109"/>
        <w:gridCol w:w="158"/>
      </w:tblGrid>
      <w:tr>
        <w:trPr/>
        <w:tc>
          <w:tcPr>
            <w:tcW w:w="191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20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Increase / (Decrease)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6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Percent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(15,628)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revenue:</w:t>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sales, including fee-based services,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servicing rights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revenue,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derivative instruments,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revenue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expenses:</w:t>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 on real estate owned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loss sharing,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gain (loss) on real estate, income from equity affiliates and income taxes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(67,473)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affiliates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(66,474)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noncontrolling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common stockholders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(37,342)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(61,294)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76" w:before="0" w:after="0"/>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average balance of our Structured Business interest-earning assets and interest-bearing liabilities, associated interest income (expense) and the corresponding weighted average yields ($ in thousands):</w:t>
      </w:r>
    </w:p>
    <w:tbl>
      <w:tblPr>
        <w:tblW w:w="10377" w:type="dxa"/>
        <w:jc w:val="left"/>
        <w:tblInd w:w="0" w:type="dxa"/>
        <w:tblLayout w:type="fixed"/>
        <w:tblCellMar>
          <w:top w:w="28" w:type="dxa"/>
          <w:left w:w="28" w:type="dxa"/>
          <w:bottom w:w="28" w:type="dxa"/>
          <w:right w:w="28" w:type="dxa"/>
        </w:tblCellMar>
      </w:tblPr>
      <w:tblGrid>
        <w:gridCol w:w="722"/>
        <w:gridCol w:w="437"/>
        <w:gridCol w:w="282"/>
        <w:gridCol w:w="211"/>
        <w:gridCol w:w="1081"/>
        <w:gridCol w:w="109"/>
        <w:gridCol w:w="109"/>
        <w:gridCol w:w="109"/>
        <w:gridCol w:w="109"/>
        <w:gridCol w:w="211"/>
        <w:gridCol w:w="826"/>
        <w:gridCol w:w="109"/>
        <w:gridCol w:w="109"/>
        <w:gridCol w:w="109"/>
        <w:gridCol w:w="109"/>
        <w:gridCol w:w="307"/>
        <w:gridCol w:w="309"/>
        <w:gridCol w:w="458"/>
        <w:gridCol w:w="109"/>
        <w:gridCol w:w="109"/>
        <w:gridCol w:w="109"/>
        <w:gridCol w:w="211"/>
        <w:gridCol w:w="1081"/>
        <w:gridCol w:w="109"/>
        <w:gridCol w:w="109"/>
        <w:gridCol w:w="109"/>
        <w:gridCol w:w="109"/>
        <w:gridCol w:w="211"/>
        <w:gridCol w:w="826"/>
        <w:gridCol w:w="109"/>
        <w:gridCol w:w="109"/>
        <w:gridCol w:w="109"/>
        <w:gridCol w:w="109"/>
        <w:gridCol w:w="307"/>
        <w:gridCol w:w="309"/>
        <w:gridCol w:w="517"/>
      </w:tblGrid>
      <w:tr>
        <w:trPr/>
        <w:tc>
          <w:tcPr>
            <w:tcW w:w="72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w:t>
              <w:br/>
              <w:t>Carrying</w:t>
              <w:br/>
              <w:t>Value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Interest</w:t>
              <w:br/>
              <w:t>Income /</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W/A Yield /</w:t>
              <w:br/>
              <w:t xml:space="preserve">Financing </w:t>
              <w:br/>
              <w:t>Cost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w:t>
              <w:br/>
              <w:t>Carrying</w:t>
              <w:br/>
              <w:t>Value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Interest</w:t>
              <w:br/>
              <w:t>Income /</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W/A Yield / </w:t>
              <w:br/>
              <w:t xml:space="preserve">Financing </w:t>
              <w:br/>
              <w:t>Cost (2)</w:t>
            </w:r>
          </w:p>
        </w:tc>
      </w:tr>
      <w:tr>
        <w:trPr/>
        <w:tc>
          <w:tcPr>
            <w:tcW w:w="10377" w:type="dxa"/>
            <w:gridSpan w:val="3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Structured Business interest-earning assets:</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Bridge loans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11,290,771 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11,061,695 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5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Mezzanine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 Multifamily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12.45 </w:t>
            </w:r>
          </w:p>
        </w:tc>
        <w:tc>
          <w:tcPr>
            <w:tcW w:w="5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equity investments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5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Core interest-earning assets</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12,082,426 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217,134 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4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11,528,864 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228,428 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5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5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interest-earning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12,321,206 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219,211 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4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11,717,954 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229,980 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5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Structured Business interest-bearing liabilities: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and repurchase facilities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5,014,562 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4,499,752 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CLO</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3,413,150 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3,296,933 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5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debt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1,930,769 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Trust preferred</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5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Q Series securitization</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interest-bearing liabilities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10,512,817 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172,066 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4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9,521,471 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165,858 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47,145 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64,122 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(1)Based on UPB for loans, amortized cost for securities and principal amount of debt.</w:t>
      </w:r>
    </w:p>
    <w:p>
      <w:pPr>
        <w:pStyle w:val="TextBody"/>
        <w:bidi w:val="0"/>
        <w:spacing w:lineRule="auto" w:line="288" w:before="0" w:after="0"/>
        <w:ind w:left="0" w:right="0" w:hanging="360"/>
        <w:jc w:val="left"/>
        <w:rPr/>
      </w:pPr>
      <w:r>
        <w:rPr>
          <w:rFonts w:ascii="Times New Roman;serif" w:hAnsi="Times New Roman;serif"/>
          <w:b w:val="false"/>
          <w:color w:val="000000"/>
          <w:sz w:val="20"/>
        </w:rPr>
        <w:t>(2)Weighted average yield calculated based on annualized interest income or expense divided by average carrying value</w:t>
      </w:r>
      <w:r>
        <w:rPr>
          <w:rFonts w:ascii="Times New Roman;serif" w:hAnsi="Times New Roman;serif"/>
          <w:b/>
          <w:color w:val="000000"/>
          <w:sz w:val="20"/>
        </w:rPr>
        <w:t>.</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Net Interest Income</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decrease in interest income was mainly due to a $10.8 million decrease from our Structured Business. The decline was primarily due to a decrease in the average yield on core interest-earning assets, partially offset by an increase in the average balance of our core interest-earning assets (loan originations exceeded runoff) and, to a lesser extent, higher average bank balances. The decrease in the average yield was mainly from a decrease in SOFR and an increase in new delinquencies and modified loans at lower rates.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interest expense was mainly due to a $6.2 million increase from our Structured Business, primarily due to an increase in the average balance of our interest-bearing liabilities from an increase in the average loan portfolio and the issuance of senior unsecured notes. This was partially offset by the payoff of our 7.50% convertible senior notes and a reduction in the average cost of interest-bearing liabilities (mainly from a decrease in SOFR).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Agency Business Revenue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gain on sales, including fee-based services, net was primarily due to a 42% increase in loan sales volume ($336.4 million), partially offset by a 21% decrease in the sales margin from 1.69% to 1.33%. The decrease in the sales margin was mainly due to a decrease in the Fannie Mae sales margin, which includes the impact of larger portfolio deals in 2026 that produce lower margins.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income from MSRs was primarily due to a 42% increase in loan commitment volume ($359.1 million), partially offset by 22% decrease in the MSR rate from 1.28% to 1.00%. The decrease in the MSR rate was mainly due to a higher concentration of Freddie Mac loan commitment volume, which generate lower servicing fees.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decrease in servicing revenue, net was primarily due to a decrease in earnings on escrow balances from lower average balances and a decrease in the applicable interest rate, partially offset by an increase in servicing fees due to growth in our servicing portfolio.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76" w:before="0" w:after="0"/>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Other Income (Loss)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increases in property operating income and expenses were due to the addition of several new REO assets.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gains on derivative instruments in 2026 and 2025 were related to changes in the fair values of our forward sale commitments and swaps held by our Agency Business as a result of changes in market interest rates.</w:t>
      </w:r>
    </w:p>
    <w:p>
      <w:pPr>
        <w:pStyle w:val="TextBody"/>
        <w:bidi w:val="0"/>
        <w:spacing w:lineRule="auto" w:line="256"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decrease in other income, net was primarily due to increases in the fair value of our Private Label loans from our Agency Business recognized in 2025, as well as a decrease in loan modification fees.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Other Expenses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increase in employee compensation and benefits expense was primarily due to higher salaries and incentive compensation associated with executive-level hires, merit-based compensation increases for existing employees and higher commissions resulting from increased GSE/Agency loan sales volume. These increases were partially offset by a reduction in overall headcount.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2026, we recorded a $13.7 million impairment loss related to certain REO assets that we acquired through foreclosure in prior periods, which represents the extent to which the carrying value exceeded its estimated fair value at the current period end.</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increase in the provision for loss sharing, net primarily reflects larger specific loan impairment reserves taken in 2026, compared to 2025.</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increase in the provision for credit losses, net primarily reflects larger specific loan impairment reserves taken in 2026, in addition to a softer outlook for commercial real estate in 2026, compared to 2025.</w:t>
      </w:r>
    </w:p>
    <w:p>
      <w:pPr>
        <w:pStyle w:val="TextBody"/>
        <w:bidi w:val="0"/>
        <w:spacing w:lineRule="auto" w:line="26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Gain (Loss) on Real Estate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gain on real estate in 2026 represents an aggregate gain recognized on the sale of two foreclosed properties, partially offset by an aggregate loss recognized on the sale of three existing REO assets; while the loss on real estate in 2025 is substantially comprised of losses on below market debt totaling $1.5 million related to financing on the sale of several REO assets.</w:t>
      </w:r>
    </w:p>
    <w:p>
      <w:pPr>
        <w:pStyle w:val="TextBody"/>
        <w:bidi w:val="0"/>
        <w:spacing w:lineRule="auto" w:line="276"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Income from Equity Affiliates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affiliates in 2026 primarily reflects $3.0 million of income recognized related to a cash distribution received from our Lexford joint venture, partially offset by losses from other investments; while income from equity affiliates in 2025 primarily reflects a $3.4 million distribution received from our Lexford joint venture, partially offset by a $1.0 million loss from our AMAC III investment.</w:t>
      </w:r>
    </w:p>
    <w:p>
      <w:pPr>
        <w:pStyle w:val="TextBody"/>
        <w:bidi w:val="0"/>
        <w:spacing w:lineRule="auto" w:line="276" w:before="200" w:after="283"/>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three months ended June 30, 2026, we recorded a tax provision of $3.2 million, which consisted of a current tax provision of $5.4 million and a deferred tax benefit of $2.2 million. In the three months ended June 30, 2025, we recorded a tax provision of $3.4 million, which consisted of a current tax provision of $5.0 million and a deferred tax benefit of $1.6 million.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Net (Loss) Income Attributable to Noncontrolling Interest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noncontrolling interest relates to the outstanding OP Units (see Note 16). At June 30, 2026 and 2025, there were 16,170,218 and 16,173,761 OP Units outstanding, respectively, which represented 7.9% and 7.8%, respectively, of our outstanding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76" w:before="0" w:after="0"/>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Comparison of Results of Operations for the Six Months Ended June 30, 2026 and 2025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our consolidated operating results ($ in thousands):</w:t>
      </w:r>
    </w:p>
    <w:tbl>
      <w:tblPr>
        <w:tblW w:w="10205" w:type="dxa"/>
        <w:jc w:val="left"/>
        <w:tblInd w:w="0" w:type="dxa"/>
        <w:tblLayout w:type="fixed"/>
        <w:tblCellMar>
          <w:top w:w="28" w:type="dxa"/>
          <w:left w:w="28" w:type="dxa"/>
          <w:bottom w:w="28" w:type="dxa"/>
          <w:right w:w="28" w:type="dxa"/>
        </w:tblCellMar>
      </w:tblPr>
      <w:tblGrid>
        <w:gridCol w:w="1979"/>
        <w:gridCol w:w="1402"/>
        <w:gridCol w:w="1415"/>
        <w:gridCol w:w="211"/>
        <w:gridCol w:w="826"/>
        <w:gridCol w:w="109"/>
        <w:gridCol w:w="109"/>
        <w:gridCol w:w="109"/>
        <w:gridCol w:w="109"/>
        <w:gridCol w:w="211"/>
        <w:gridCol w:w="826"/>
        <w:gridCol w:w="109"/>
        <w:gridCol w:w="109"/>
        <w:gridCol w:w="109"/>
        <w:gridCol w:w="109"/>
        <w:gridCol w:w="211"/>
        <w:gridCol w:w="762"/>
        <w:gridCol w:w="109"/>
        <w:gridCol w:w="109"/>
        <w:gridCol w:w="109"/>
        <w:gridCol w:w="109"/>
        <w:gridCol w:w="226"/>
        <w:gridCol w:w="226"/>
        <w:gridCol w:w="227"/>
        <w:gridCol w:w="109"/>
        <w:gridCol w:w="109"/>
        <w:gridCol w:w="157"/>
      </w:tblGrid>
      <w:tr>
        <w:trPr/>
        <w:tc>
          <w:tcPr>
            <w:tcW w:w="1979"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20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Increase / (Decrease)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6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Percent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112,942 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144,168 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(31,226)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revenue:</w:t>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sales, including fee-based services,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servicing rights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revenue,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derivative instruments,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revenue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120,327 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120,405 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expenses:</w:t>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 on real estate owned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loss sharing,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251,406 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172,337 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extinguishment of debt, loss on real estate, income from equity affiliates and income taxes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(18,137)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92,236 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(110,373)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affiliates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(19,141)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(98,831)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noncontrolling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common stockholders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(36,713)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(91,102)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76" w:before="0" w:after="0"/>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average balance of our Structured Business interest-earning assets and interest-bearing liabilities, associated interest income (expense) and the corresponding weighted average yields ($ in thousands):</w:t>
      </w:r>
    </w:p>
    <w:tbl>
      <w:tblPr>
        <w:tblW w:w="10287" w:type="dxa"/>
        <w:jc w:val="left"/>
        <w:tblInd w:w="0" w:type="dxa"/>
        <w:tblLayout w:type="fixed"/>
        <w:tblCellMar>
          <w:top w:w="28" w:type="dxa"/>
          <w:left w:w="28" w:type="dxa"/>
          <w:bottom w:w="28" w:type="dxa"/>
          <w:right w:w="28" w:type="dxa"/>
        </w:tblCellMar>
      </w:tblPr>
      <w:tblGrid>
        <w:gridCol w:w="763"/>
        <w:gridCol w:w="367"/>
        <w:gridCol w:w="311"/>
        <w:gridCol w:w="211"/>
        <w:gridCol w:w="1081"/>
        <w:gridCol w:w="109"/>
        <w:gridCol w:w="109"/>
        <w:gridCol w:w="109"/>
        <w:gridCol w:w="109"/>
        <w:gridCol w:w="211"/>
        <w:gridCol w:w="826"/>
        <w:gridCol w:w="109"/>
        <w:gridCol w:w="109"/>
        <w:gridCol w:w="109"/>
        <w:gridCol w:w="109"/>
        <w:gridCol w:w="285"/>
        <w:gridCol w:w="286"/>
        <w:gridCol w:w="458"/>
        <w:gridCol w:w="109"/>
        <w:gridCol w:w="109"/>
        <w:gridCol w:w="109"/>
        <w:gridCol w:w="211"/>
        <w:gridCol w:w="1081"/>
        <w:gridCol w:w="109"/>
        <w:gridCol w:w="109"/>
        <w:gridCol w:w="109"/>
        <w:gridCol w:w="109"/>
        <w:gridCol w:w="211"/>
        <w:gridCol w:w="826"/>
        <w:gridCol w:w="109"/>
        <w:gridCol w:w="109"/>
        <w:gridCol w:w="109"/>
        <w:gridCol w:w="109"/>
        <w:gridCol w:w="285"/>
        <w:gridCol w:w="286"/>
        <w:gridCol w:w="517"/>
      </w:tblGrid>
      <w:tr>
        <w:trPr/>
        <w:tc>
          <w:tcPr>
            <w:tcW w:w="76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w:t>
              <w:br/>
              <w:t>Carrying</w:t>
              <w:br/>
              <w:t>Value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Interest</w:t>
              <w:br/>
              <w:t>Income /</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W/A Yield /</w:t>
              <w:br/>
              <w:t xml:space="preserve">Financing </w:t>
              <w:br/>
              <w:t>Cost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w:t>
              <w:br/>
              <w:t>Carrying</w:t>
              <w:br/>
              <w:t>Value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Interest</w:t>
              <w:br/>
              <w:t>Income /</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W/A Yield / </w:t>
              <w:br/>
              <w:t xml:space="preserve">Financing </w:t>
              <w:br/>
              <w:t>Cost (2)</w:t>
            </w:r>
          </w:p>
        </w:tc>
      </w:tr>
      <w:tr>
        <w:trPr/>
        <w:tc>
          <w:tcPr>
            <w:tcW w:w="10287" w:type="dxa"/>
            <w:gridSpan w:val="3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Structured Business interest-earning assets:</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Bridge loans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11,286,155 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11,019,472 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w:t>
            </w:r>
          </w:p>
        </w:tc>
        <w:tc>
          <w:tcPr>
            <w:tcW w:w="5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Mezzanine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8.56</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9.79</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equity investments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9.88</w:t>
            </w:r>
          </w:p>
        </w:tc>
        <w:tc>
          <w:tcPr>
            <w:tcW w:w="5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 Multifamily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11.80</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9.57</w:t>
            </w:r>
          </w:p>
        </w:tc>
        <w:tc>
          <w:tcPr>
            <w:tcW w:w="5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Core interest-earning assets</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12,063,774 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c>
          <w:tcPr>
            <w:tcW w:w="4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11,461,761 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457,510 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w:t>
            </w:r>
          </w:p>
        </w:tc>
        <w:tc>
          <w:tcPr>
            <w:tcW w:w="5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w:t>
            </w:r>
          </w:p>
        </w:tc>
        <w:tc>
          <w:tcPr>
            <w:tcW w:w="5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interest-earning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12,280,472 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443,605 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4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11,611,692 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460,067 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5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Structured Business interest-bearing liabilities: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and repurchase facilities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4,869,969 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3,955,280 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CLO</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3,434,361 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3,788,566 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w:t>
            </w:r>
          </w:p>
        </w:tc>
        <w:tc>
          <w:tcPr>
            <w:tcW w:w="5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debt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1,990,055 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Trust preferred</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w:t>
            </w:r>
          </w:p>
        </w:tc>
        <w:tc>
          <w:tcPr>
            <w:tcW w:w="5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Q Series securitization</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7.91</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interest-bearing liabilities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10,448,721 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342,881 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w:t>
            </w:r>
          </w:p>
        </w:tc>
        <w:tc>
          <w:tcPr>
            <w:tcW w:w="4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9,470,485 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327,437 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w:t>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100,724 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132,630 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(1)Based on UPB for loans, amortized cost for securities and principal amount of debt.</w:t>
      </w:r>
    </w:p>
    <w:p>
      <w:pPr>
        <w:pStyle w:val="TextBody"/>
        <w:bidi w:val="0"/>
        <w:spacing w:lineRule="auto" w:line="288" w:before="0" w:after="0"/>
        <w:ind w:left="0" w:right="0" w:hanging="360"/>
        <w:jc w:val="left"/>
        <w:rPr/>
      </w:pPr>
      <w:r>
        <w:rPr>
          <w:rFonts w:ascii="Times New Roman;serif" w:hAnsi="Times New Roman;serif"/>
          <w:b w:val="false"/>
          <w:color w:val="000000"/>
          <w:sz w:val="20"/>
        </w:rPr>
        <w:t>(2)Weighted average yield calculated based on annualized interest income or expense divided by average carrying value</w:t>
      </w:r>
      <w:r>
        <w:rPr>
          <w:rFonts w:ascii="Times New Roman;serif" w:hAnsi="Times New Roman;serif"/>
          <w:b/>
          <w:color w:val="000000"/>
          <w:sz w:val="20"/>
        </w:rPr>
        <w:t>.</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Net Interest Income</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decrease in interest income was mainly due to a $16.5 million decrease from our Structured Business. The decline was primarily due to a decrease in the average yield on core interest-earning assets, partially offset by an increase in the average balance of our core interest-earning assets (loan originations exceeded runoff) and, to a lesser extent, higher average bank balances. The decrease in the average yield was mainly from a decrease in SOFR, a reduction in back interest earned on delinquent and modified loans and an increase in new delinquencies and modified loans at lower rates.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interest expense was mainly due to a $15.4 million increase from our Structured Business, primarily due to an increase in the average balance of our interest-bearing liabilities from an increase in the average loan portfolio and the issuance of senior unsecured notes. This was partially offset by the payoff of our 7.50% convertible senior notes and a reduction in the average cost of interest-bearing liabilities (mainly from a decrease in SOFR).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Agency Business Revenue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gain on sales, including fee-based services, net was primarily due to an 18% increase in loan sales volume ($276.5 million), partially offset by an 11% decrease in the sales margin from 1.72% to 1.53%. The decrease in the sales margin was mainly due to a decrease in the Fannie Mae sales margin, which includes the impact of larger portfolio deals in 2026 that produce lower margins.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income from MSRs was primarily due to a 30% increase in loan commitment volume ($447.6 million), partially offset by a 12% decrease in the MSR rate from 1.27% to 1.12%. The decrease in the MSR rate was mainly due to a higher concentration of Freddie Mac loan commitment volume, which generate lower servicing fees.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decrease in servicing revenue, net was primarily due to a decrease in earnings on escrow balances from lower average balances and a decrease in the applicable interest rate, partially offset by an increase in servicing fees due to growth in our servicing portfolio.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76" w:before="0" w:after="0"/>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Other Income (Loss)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increases in property operating income and expenses were due to the addition of several new REO assets, which also resulted in an increase in depreciation and amortization.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gains on derivative instruments in 2026 and 2025 were related to changes in the fair values of our forward sale commitments and swaps held by our Agency Business as a result of changes in market interest rates.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decrease in other income, net was primarily due to increases in the fair value of our Private Label loans from our Agency Business recognized in 2025.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Other Expenses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increase in employee compensation and benefits expense was primarily due to higher salaries and incentive compensation associated with executive-level hires and merit-based compensation increases for existing employees. These increases were partially offset by a reduction in overall headcount.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 2026, we recorded a $26.2 million impairment loss related to certain REO assets that we acquired through foreclosure in prior periods, which represents the extent to which the carrying value exceeded its estimated fair value at the current period end.</w:t>
      </w:r>
    </w:p>
    <w:p>
      <w:pPr>
        <w:pStyle w:val="TextBody"/>
        <w:bidi w:val="0"/>
        <w:spacing w:lineRule="auto" w:line="256" w:before="200" w:after="283"/>
        <w:jc w:val="left"/>
        <w:rPr>
          <w:rFonts w:ascii="Times New Roman;serif" w:hAnsi="Times New Roman;serif"/>
          <w:b w:val="false"/>
          <w:color w:val="000000"/>
          <w:sz w:val="20"/>
        </w:rPr>
      </w:pPr>
      <w:r>
        <w:rPr>
          <w:rFonts w:ascii="Times New Roman;serif" w:hAnsi="Times New Roman;serif"/>
          <w:b w:val="false"/>
          <w:color w:val="000000"/>
          <w:sz w:val="20"/>
        </w:rPr>
        <w:t>The increase in the provision for loss sharing, net primarily reflects larger specific loan impairment reserves taken in 2026, compared to 2025.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increase in the provision for credit losses, net primarily reflects larger specific loan impairment reserves taken in 2026, in addition to a softer outlook for commercial real estate in 2026, compared to 2025.</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Loss on Extinguishment of Debt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loss on extinguishment of debt in 2025 reflects deferred financing fees recognized in connection with the unwind of CLOs.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Loss on Real Estate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loss on real estate in 2026 primarily reflects a loss recognized on the sale of an existing REO asset during the first quarter of 2026. The loss on real estate in 2025 is comprised of $4.3 million in loss on below market debt related to financing on the sale of several existing REO assets and a $1.8 million loss on the foreclosure of loans we took back as REO assets, partially offset by a $1.9 million gain on the REO sales.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Income from Equity Affiliates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affiliates in 2026 primarily reflects $8.8 million of income recognized related to cash distributions received from our Lexford joint venture, partially offset by losses from other investments; while income from equity affiliates in 2025 primarily reflects a $3.4 million distribution received from our Lexford joint venture and income of $0.8 million from our Fifth Wall investment, partially offset by losses from our investments in a residential mortgage banking business and AMAC III totaling $3.3 million.</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six months ended June 30, 2026, we recorded a tax provision of $5.2 million, which consisted of a current tax provision of $10.0 million and a deferred tax benefit of $4.8 million. In the six months ended June 30, 2025, we recorded a tax provision of $7.0 million, which consisted of a current tax provision of $8.7 million and a deferred tax benefit of $1.7 million.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Net (Loss) Income Attributable to Noncontrolling Interest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noncontrolling interest relates to the outstanding OP Units (see Note 16). At June 30, 2026 and 2025, there were 16,170,218 and 16,173,761 OP Units outstanding, respectively, which represented 7.9% and 7.8%, respectively, of our outstanding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200" w:after="283"/>
        <w:jc w:val="left"/>
        <w:rPr/>
      </w:pPr>
      <w:r>
        <w:rPr>
          <w:rFonts w:ascii="Times New Roman;serif" w:hAnsi="Times New Roman;serif"/>
          <w:b/>
          <w:i/>
          <w:color w:val="000000"/>
          <w:sz w:val="20"/>
        </w:rPr>
        <w:t xml:space="preserve">Sources of Liquidity. </w:t>
      </w:r>
      <w:r>
        <w:rPr>
          <w:rFonts w:ascii="Times New Roman;serif" w:hAnsi="Times New Roman;serif"/>
          <w:b w:val="false"/>
          <w:color w:val="000000"/>
          <w:sz w:val="20"/>
        </w:rPr>
        <w:t xml:space="preserve">Liquidity is a measure of our ability to meet our potential cash requirements, including ongoing commitments to repay borrowings, satisfaction of collateral requirements under the Fannie Mae DUS risk-sharing agreement and, as an approved designated seller/servicer of Freddie Mac’s SBL program, operational liquidity requirements of the GSE agencies, fund new loans and investments, fund operating costs and distributions to our stockholders, fund capital expenditures and other property level costs associated with REO assets (including tenant improvements and rehabilitation/ renovation costs) and to fund draws due under unfunded loan commitments, as well as other general business needs. Our primary sources of funds for liquidity consist of proceeds from equity and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76" w:before="0" w:after="0"/>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offerings, proceeds from CLOs and securitizations, debt facilities and cash flows from operations. We closely monitor our liquidity position and believe our existing sources of funds and access to additional liquidity will be adequate to meet our liquidity needs.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elevated and volatile interest rates, together with geopolitical uncertainty, including the conflict involving Iran, has caused some disruptions in financial services, real estate and credit markets. As stated earlier, these conditions have contributed to weaker performance of certain of our legacy assets, leading to increased defaults, delinquencies and foreclosures. If these conditions continue to affect our borrowers and their tenants, or if other risks described in our SEC filings materialize, our liquidity and capital resources could be further adversely affected.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described in Note 10, certain of our repurchase facilities include margin call provisions associated with changes in interest spreads which are designed to limit the lenders credit exposure. If we experience significant decreases in the value of the properties serving as collateral under these repurchase agreements, which is set by the lenders based on current market conditions, the lenders have the right to require us to repay all, or a portion, of the funds advanced, or provide additional collateral. While we expect to extend or renew all of our facilities as they mature, we cannot provide assurance that they will be extended or renewed on as favorable terms.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had $10.75 billion in total structured debt outstanding at June 30, 2026. Of this total, $5.02 billion, or 47%, does not contain mark-to-market provisions and is comprised of non-recourse securitized debt, senior unsecured debt and junior subordinated notes. The remaining $5.73 billion of debt is in credit and repurchase facilities with several different banks that we have long-standing relationships with. At June 30, 2026, we had $2.22 billion of debt from credit and repurchase facilities that were subject to margin calls related to changes in interest spreads.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addition to our ability to extend our credit and repurchase facilities and raise funds from equity and debt offerings, we also have a $36.70 billion agency servicing portfolio at June 30, 2026, which is mostly prepayment protected, and escrow/cash balances that generates approximately $184 million per year in recurring gross cash flow.</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To maintain our status as a REIT under the Internal Revenue Code, we must distribute annually at least 90% of our REIT-taxable income. These distribution requirements limit our ability to retain earnings and thereby replenish or increase capital for operations. However, we believe that our capital resources and access to financing will provide us with financial flexibility and market responsiveness at levels sufficient to meet current and anticipated capital and liquidity requirements.</w:t>
      </w:r>
    </w:p>
    <w:p>
      <w:pPr>
        <w:pStyle w:val="TextBody"/>
        <w:bidi w:val="0"/>
        <w:spacing w:lineRule="auto" w:line="268" w:before="200" w:after="283"/>
        <w:jc w:val="left"/>
        <w:rPr/>
      </w:pPr>
      <w:r>
        <w:rPr>
          <w:rFonts w:ascii="Times New Roman;serif" w:hAnsi="Times New Roman;serif"/>
          <w:b/>
          <w:i/>
          <w:color w:val="000000"/>
          <w:sz w:val="20"/>
        </w:rPr>
        <w:t xml:space="preserve">Cash Flows. </w:t>
      </w:r>
      <w:r>
        <w:rPr>
          <w:rFonts w:ascii="Times New Roman;serif" w:hAnsi="Times New Roman;serif"/>
          <w:b w:val="false"/>
          <w:color w:val="000000"/>
          <w:sz w:val="20"/>
        </w:rPr>
        <w:t>Cash flows provided by operating activities totaled $150.0 million during the six months ended June 30, 2026 and consisted primarily of the benefit of non-cash expenses included in our net loss, principally provisions for credit losses and loss-sharing obligations of $62.0 million, depreciation and amortization of $56.0 million and impairment losses on REO assets of $26.2 million, along with net cash inflows of $30.1 million from loan sales exceeding loan originations in our Agency Business.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Cash flows used in investing activities totaled $128.4 million during the six months ended June 30, 2026 and consisted primarily of $83.9 million of net cash outflows in connection with loan and investment activity (Structured Business loan originations of $1.58 billion exceeded payoffs and paydowns/payoffs totaling $1.49 billion), net cash outflows of $27.9 million related to REO activity and a $25.0 million investment made for an interest in a multifamily property.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Cash flows used in financing activities totaled $145.9 million during the six months ended June 30, 2026 and consisted primarily of $493.7 million of net securitized debt activity (payoffs and paydowns exceeded proceeds), $175.0 million payoff of our senior notes, $118.8 million of distributions to our stockholders and OP Unit holders and $51.6 million of common stock repurchases; partially offset by net cash inflows of $690.4 million from debt facility activities (financed loan originations were greater than facility paydowns).</w:t>
      </w:r>
    </w:p>
    <w:p>
      <w:pPr>
        <w:pStyle w:val="TextBody"/>
        <w:bidi w:val="0"/>
        <w:spacing w:lineRule="auto" w:line="288" w:before="240" w:after="283"/>
        <w:jc w:val="left"/>
        <w:rPr/>
      </w:pPr>
      <w:r>
        <w:rPr>
          <w:rFonts w:ascii="Times New Roman;serif" w:hAnsi="Times New Roman;serif"/>
          <w:b/>
          <w:i/>
          <w:color w:val="000000"/>
          <w:sz w:val="20"/>
        </w:rPr>
        <w:t xml:space="preserve">Unencumbered Assets. </w:t>
      </w:r>
      <w:r>
        <w:rPr>
          <w:rFonts w:ascii="Times New Roman;serif" w:hAnsi="Times New Roman;serif"/>
          <w:b w:val="false"/>
          <w:color w:val="000000"/>
          <w:sz w:val="20"/>
        </w:rPr>
        <w:t>At June 30, 2026, we had total unencumbered assets with a carrying value of $2.62 billion, consisting of cash and cash equivalents of $287.5 million, loans of $699.0 million, securitization investments of $879.1 million, MSRs of $323.9 million and $431.7 million of other assets not encumbered by any portion of secured indebtedness. Our unencumbered assets to unsecured debt ratio was 1.40x at June 30, 2026, compared to the minimum of 1.20x required by our outstanding $400.0 million 8.50% senior unsecured notes due in December 2028 and our outstanding $500.0 million 7.875% senior unsecured notes due in July 2030.</w:t>
      </w:r>
    </w:p>
    <w:p>
      <w:pPr>
        <w:pStyle w:val="TextBody"/>
        <w:bidi w:val="0"/>
        <w:spacing w:lineRule="auto" w:line="288" w:before="200" w:after="283"/>
        <w:jc w:val="left"/>
        <w:rPr/>
      </w:pPr>
      <w:r>
        <w:rPr>
          <w:rFonts w:ascii="Times New Roman;serif" w:hAnsi="Times New Roman;serif"/>
          <w:b/>
          <w:i/>
          <w:color w:val="000000"/>
          <w:sz w:val="20"/>
        </w:rPr>
        <w:t>Agency Business Requirements.</w:t>
      </w:r>
      <w:r>
        <w:rPr>
          <w:color w:val="000000"/>
        </w:rPr>
        <w:t xml:space="preserve"> </w:t>
      </w:r>
      <w:r>
        <w:rPr>
          <w:rFonts w:ascii="Times New Roman;serif" w:hAnsi="Times New Roman;serif"/>
          <w:b w:val="false"/>
          <w:color w:val="000000"/>
          <w:sz w:val="20"/>
        </w:rPr>
        <w:t>The Agency Business is subject to supervision by certain regulatory agencies. Among other things, these agencies require us to meet certain minimum net worth, operational liquidity and restricted liquidity collateral requirements, purchase and loss obligations and compliance with reporting requirements. Our adjusted net worth and operational liquidity exceeded the agencies’ requirements at June 30, 2026. Our restricted liquidity and purchase and loss obligations were satisfied with letters of credit totaling $75.0 million and cash. See Note 14 for details about our performance regarding these requirements.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also enter into contractual commitments with borrowers providing rate lock commitments while simultaneously entering into forward sale commitments with investors. These commitments are outstanding for short periods of time (generally less than 60 days) and are described in Note 12.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76" w:before="0" w:after="0"/>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pPr>
      <w:r>
        <w:rPr>
          <w:rFonts w:ascii="Times New Roman;serif" w:hAnsi="Times New Roman;serif"/>
          <w:b/>
          <w:i/>
          <w:color w:val="000000"/>
          <w:sz w:val="20"/>
        </w:rPr>
        <w:t>Debt Facilities.</w:t>
      </w:r>
      <w:r>
        <w:rPr>
          <w:color w:val="000000"/>
        </w:rPr>
        <w:t xml:space="preserve"> </w:t>
      </w:r>
      <w:r>
        <w:rPr>
          <w:rFonts w:ascii="Times New Roman;serif" w:hAnsi="Times New Roman;serif"/>
          <w:b w:val="false"/>
          <w:color w:val="000000"/>
          <w:sz w:val="20"/>
        </w:rPr>
        <w:t>We maintain various forms of short-term and long-term financing arrangements. Borrowings underlying these arrangements are primarily secured by a significant amount of our loans and investments and substantially all our loans held-for-sale. The following is a summary of our debt facilities ($ in thousands):</w:t>
      </w:r>
    </w:p>
    <w:tbl>
      <w:tblPr>
        <w:tblW w:w="10056" w:type="dxa"/>
        <w:jc w:val="left"/>
        <w:tblInd w:w="0" w:type="dxa"/>
        <w:tblLayout w:type="fixed"/>
        <w:tblCellMar>
          <w:top w:w="28" w:type="dxa"/>
          <w:left w:w="28" w:type="dxa"/>
          <w:bottom w:w="28" w:type="dxa"/>
          <w:right w:w="28" w:type="dxa"/>
        </w:tblCellMar>
      </w:tblPr>
      <w:tblGrid>
        <w:gridCol w:w="1135"/>
        <w:gridCol w:w="998"/>
        <w:gridCol w:w="1002"/>
        <w:gridCol w:w="109"/>
        <w:gridCol w:w="109"/>
        <w:gridCol w:w="109"/>
        <w:gridCol w:w="211"/>
        <w:gridCol w:w="1081"/>
        <w:gridCol w:w="109"/>
        <w:gridCol w:w="109"/>
        <w:gridCol w:w="109"/>
        <w:gridCol w:w="109"/>
        <w:gridCol w:w="211"/>
        <w:gridCol w:w="1081"/>
        <w:gridCol w:w="109"/>
        <w:gridCol w:w="109"/>
        <w:gridCol w:w="109"/>
        <w:gridCol w:w="109"/>
        <w:gridCol w:w="211"/>
        <w:gridCol w:w="976"/>
        <w:gridCol w:w="109"/>
        <w:gridCol w:w="109"/>
        <w:gridCol w:w="109"/>
        <w:gridCol w:w="109"/>
        <w:gridCol w:w="443"/>
        <w:gridCol w:w="443"/>
        <w:gridCol w:w="629"/>
      </w:tblGrid>
      <w:tr>
        <w:trPr/>
        <w:tc>
          <w:tcPr>
            <w:tcW w:w="113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13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Debt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1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Commitment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UPB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Available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Maturity Dates (2)</w:t>
            </w:r>
          </w:p>
        </w:tc>
      </w:tr>
      <w:tr>
        <w:trPr/>
        <w:tc>
          <w:tcPr>
            <w:tcW w:w="31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Structured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and repurchase facilities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8,237,035 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5,462,360 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2,774,675 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2026 - 2029</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Securitized debt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2,992,050 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2,992,050 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2026 - 2030</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2026 - 2030</w:t>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Junior subordinated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2034 - 2037</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 real estate 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2026 - 2027</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Structured Business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13,528,831 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10,754,156 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2,774,675 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Agency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and repurchase facilities (3)(5)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1,390,377 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2026 - 2027</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15,278,831 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11,113,779 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4,165,052 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(1)Excludes the impact of deferred financing costs.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(2)See Note 14 for a breakdown of debt maturities by year. These maturity dates exclude extension options.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(3)Commitment totals excludes available overadvances.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(4)Maturity dates represent the weighted average remaining maturity based on the underlying collateral at June 30, 2026.</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$750 million As Soon as Pooled ® Plus (“ASAP”) agreement we have with Fannie Mae has no expiration date.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utilize our credit and repurchase facilities primarily to finance our loan originations on a short-term basis prior to loan securitizations, including through CLOs. The timing, size and frequency of our securitizations impact the balances of these borrowings and produce some fluctuations. The following table provides additional information regarding the balances of our borrowings ($ in thousands):</w:t>
      </w:r>
    </w:p>
    <w:tbl>
      <w:tblPr>
        <w:tblW w:w="8734" w:type="dxa"/>
        <w:jc w:val="left"/>
        <w:tblInd w:w="0" w:type="dxa"/>
        <w:tblLayout w:type="fixed"/>
        <w:tblCellMar>
          <w:top w:w="28" w:type="dxa"/>
          <w:left w:w="28" w:type="dxa"/>
          <w:bottom w:w="28" w:type="dxa"/>
          <w:right w:w="28" w:type="dxa"/>
        </w:tblCellMar>
      </w:tblPr>
      <w:tblGrid>
        <w:gridCol w:w="631"/>
        <w:gridCol w:w="552"/>
        <w:gridCol w:w="557"/>
        <w:gridCol w:w="109"/>
        <w:gridCol w:w="109"/>
        <w:gridCol w:w="109"/>
        <w:gridCol w:w="305"/>
        <w:gridCol w:w="1412"/>
        <w:gridCol w:w="157"/>
        <w:gridCol w:w="109"/>
        <w:gridCol w:w="109"/>
        <w:gridCol w:w="109"/>
        <w:gridCol w:w="241"/>
        <w:gridCol w:w="1119"/>
        <w:gridCol w:w="124"/>
        <w:gridCol w:w="109"/>
        <w:gridCol w:w="109"/>
        <w:gridCol w:w="109"/>
        <w:gridCol w:w="417"/>
        <w:gridCol w:w="1933"/>
        <w:gridCol w:w="305"/>
      </w:tblGrid>
      <w:tr>
        <w:trPr/>
        <w:tc>
          <w:tcPr>
            <w:tcW w:w="63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Quarterly Average UPB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End of Period UPB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Maximum UPB at Any Month End</w:t>
            </w:r>
          </w:p>
        </w:tc>
      </w:tr>
      <w:tr>
        <w:trPr/>
        <w:tc>
          <w:tcPr>
            <w:tcW w:w="17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5,399,362 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5,821,983 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5,904,505 </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5,005,616 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4,977,857 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5,319,936 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4,917,924 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5,161,707 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5,556,285 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4,633,344 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4,133,965 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5,553,722 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4,846,239 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4,730,120 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4,922,270 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debt facilities, including their restrictive covenants, are described in Note 10.</w:t>
      </w:r>
    </w:p>
    <w:p>
      <w:pPr>
        <w:pStyle w:val="TextBody"/>
        <w:bidi w:val="0"/>
        <w:spacing w:lineRule="auto" w:line="268" w:before="200" w:after="283"/>
        <w:jc w:val="left"/>
        <w:rPr/>
      </w:pPr>
      <w:r>
        <w:rPr>
          <w:rFonts w:ascii="Times New Roman;serif" w:hAnsi="Times New Roman;serif"/>
          <w:b/>
          <w:i/>
          <w:color w:val="000000"/>
          <w:sz w:val="20"/>
        </w:rPr>
        <w:t>Off-Balance Sheet Arrangements.</w:t>
      </w:r>
      <w:r>
        <w:rPr>
          <w:color w:val="000000"/>
        </w:rPr>
        <w:t xml:space="preserve"> </w:t>
      </w:r>
      <w:r>
        <w:rPr>
          <w:rFonts w:ascii="Times New Roman;serif" w:hAnsi="Times New Roman;serif"/>
          <w:b w:val="false"/>
          <w:color w:val="000000"/>
          <w:sz w:val="20"/>
        </w:rPr>
        <w:t>At June 30, 2026, we had no off-balance sheet arrangements.</w:t>
      </w:r>
    </w:p>
    <w:p>
      <w:pPr>
        <w:pStyle w:val="TextBody"/>
        <w:bidi w:val="0"/>
        <w:spacing w:lineRule="auto" w:line="268" w:before="200" w:after="283"/>
        <w:jc w:val="left"/>
        <w:rPr/>
      </w:pPr>
      <w:r>
        <w:rPr>
          <w:rFonts w:ascii="Times New Roman;serif" w:hAnsi="Times New Roman;serif"/>
          <w:b/>
          <w:i/>
          <w:color w:val="000000"/>
          <w:sz w:val="20"/>
        </w:rPr>
        <w:t>Inflation.</w:t>
      </w:r>
      <w:r>
        <w:rPr>
          <w:color w:val="000000"/>
        </w:rPr>
        <w:t xml:space="preserve"> </w:t>
      </w:r>
      <w:r>
        <w:rPr>
          <w:rFonts w:ascii="Times New Roman;serif" w:hAnsi="Times New Roman;serif"/>
          <w:b w:val="false"/>
          <w:color w:val="000000"/>
          <w:sz w:val="20"/>
        </w:rPr>
        <w:t>During 2025, the Federal Reserve lowered the federal funds rate three times for an aggregate 75-basis point reduction. During the first half of 2026, the Federal Reserve maintained the target range for the federal funds rate at 3.50% to 3.75%. Current market expectations remain uncertain and have shifted during 2026, with the timing and direction of any additional monetary policy actions dependent on inflation, labor market conditions, economic growth and financial market conditions. Although short-term rates have declined from their peaks, the rate environment remains elevated, has remained elevated longer than anticipated and could persist even longer if inflation and other key economic indicators do not align with the Federal Reserve’s expectations. Additionally, long-term rates remain volatile following the current administration’s adoption of increased tariffs, related litigation, geopolitical developments, including the conflict involving Iran and related energy market volatility, and broader macroeconomic uncertainty. Expectations for long-term rates in 2026 remain mixed, reflecting uncertainty around long-term inflation, fiscal policy, increased federal spending and larger deficits, including the effects of the OBBBA. Accordingly, it remains difficult to predict where short- and long-term rates will settle during the remainder of 2026.</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This prolonged rate environment has resulted in, and may continue to result in, higher payment delinquencies and defaults, more loan modifications and foreclosures and declines in real estate values in certain asset classes, which have adversely affected, and may continue to adversely affect, our results of operations, financial condition, business prospects, liquidity and ability to make distributions to stockholders. It has also made it more difficult to resolve delinquent loans, contributing to additional foreclosures and REO assets on our balance sheet, all of which could have a further material adverse effect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76" w:before="0" w:after="0"/>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For additional details, see “Current Market Conditions, Risks and Recent Trends” above and “Quantitative and Qualitative Disclosures about Market Risk” below.</w:t>
      </w:r>
    </w:p>
    <w:p>
      <w:pPr>
        <w:pStyle w:val="TextBody"/>
        <w:bidi w:val="0"/>
        <w:spacing w:lineRule="auto" w:line="288" w:before="200" w:after="283"/>
        <w:jc w:val="left"/>
        <w:rPr/>
      </w:pPr>
      <w:r>
        <w:rPr>
          <w:rFonts w:ascii="Times New Roman;serif" w:hAnsi="Times New Roman;serif"/>
          <w:b/>
          <w:i/>
          <w:color w:val="000000"/>
          <w:sz w:val="20"/>
        </w:rPr>
        <w:t>Contractual Obligations.</w:t>
      </w:r>
      <w:r>
        <w:rPr>
          <w:color w:val="000000"/>
        </w:rPr>
        <w:t xml:space="preserve"> </w:t>
      </w:r>
      <w:r>
        <w:rPr>
          <w:rFonts w:ascii="Times New Roman;serif" w:hAnsi="Times New Roman;serif"/>
          <w:b w:val="false"/>
          <w:color w:val="000000"/>
          <w:sz w:val="20"/>
        </w:rPr>
        <w:t xml:space="preserve">During the six months ended June 30, 2026, the following significant changes were made to our contractual obligations disclosed in our 2025 Annual Report: </w:t>
      </w:r>
    </w:p>
    <w:p>
      <w:pPr>
        <w:pStyle w:val="TextBody"/>
        <w:bidi w:val="0"/>
        <w:spacing w:before="20" w:after="283"/>
        <w:jc w:val="left"/>
        <w:rPr/>
      </w:pPr>
      <w:r>
        <w:rPr/>
      </w:r>
    </w:p>
    <w:p>
      <w:pPr>
        <w:pStyle w:val="TextBody"/>
        <w:bidi w:val="0"/>
        <w:spacing w:lineRule="auto" w:line="288" w:before="20" w:after="283"/>
        <w:ind w:left="0" w:right="0" w:hanging="360"/>
        <w:jc w:val="left"/>
        <w:rPr/>
      </w:pPr>
      <w:r>
        <w:rPr>
          <w:color w:val="000000"/>
        </w:rPr>
        <w:t>•</w:t>
      </w:r>
      <w:r>
        <w:rPr>
          <w:rFonts w:ascii="Times New Roman;serif" w:hAnsi="Times New Roman;serif"/>
          <w:b w:val="false"/>
          <w:color w:val="000000"/>
          <w:sz w:val="20"/>
        </w:rPr>
        <w:t>Unwound CLO 17, repaying $787.0 million of outstanding notes;</w:t>
      </w:r>
    </w:p>
    <w:p>
      <w:pPr>
        <w:pStyle w:val="TextBody"/>
        <w:bidi w:val="0"/>
        <w:spacing w:lineRule="auto" w:line="288" w:before="20" w:after="283"/>
        <w:ind w:left="0" w:right="0" w:hanging="360"/>
        <w:jc w:val="left"/>
        <w:rPr/>
      </w:pPr>
      <w:r>
        <w:rPr>
          <w:color w:val="000000"/>
        </w:rPr>
        <w:t>•</w:t>
      </w:r>
      <w:r>
        <w:rPr>
          <w:rFonts w:ascii="Times New Roman;serif" w:hAnsi="Times New Roman;serif"/>
          <w:b w:val="false"/>
          <w:color w:val="000000"/>
          <w:sz w:val="20"/>
        </w:rPr>
        <w:t>Closed CLO 21 totaling $762.6 million of notes issued, of which $88.6 million of notes were retained by us;</w:t>
      </w:r>
    </w:p>
    <w:p>
      <w:pPr>
        <w:pStyle w:val="TextBody"/>
        <w:bidi w:val="0"/>
        <w:spacing w:lineRule="auto" w:line="288" w:before="20" w:after="283"/>
        <w:ind w:left="0" w:right="0" w:hanging="360"/>
        <w:jc w:val="left"/>
        <w:rPr/>
      </w:pPr>
      <w:r>
        <w:rPr>
          <w:color w:val="000000"/>
        </w:rPr>
        <w:t>•</w:t>
      </w:r>
      <w:r>
        <w:rPr>
          <w:rFonts w:ascii="Times New Roman;serif" w:hAnsi="Times New Roman;serif"/>
          <w:b w:val="false"/>
          <w:color w:val="000000"/>
          <w:sz w:val="20"/>
        </w:rPr>
        <w:t>Modified existing debt facilities resulting in an increase in the committed amount by approximately $590.0 million;</w:t>
      </w:r>
    </w:p>
    <w:p>
      <w:pPr>
        <w:pStyle w:val="TextBody"/>
        <w:bidi w:val="0"/>
        <w:spacing w:lineRule="auto" w:line="288" w:before="20" w:after="283"/>
        <w:ind w:left="0" w:right="0" w:hanging="360"/>
        <w:jc w:val="left"/>
        <w:rPr/>
      </w:pPr>
      <w:r>
        <w:rPr>
          <w:color w:val="000000"/>
        </w:rPr>
        <w:t>•</w:t>
      </w:r>
      <w:r>
        <w:rPr>
          <w:rFonts w:ascii="Times New Roman;serif" w:hAnsi="Times New Roman;serif"/>
          <w:b w:val="false"/>
          <w:color w:val="000000"/>
          <w:sz w:val="20"/>
        </w:rPr>
        <w:t>Entered into a new $300.0 million credit facility;</w:t>
      </w:r>
    </w:p>
    <w:p>
      <w:pPr>
        <w:pStyle w:val="TextBody"/>
        <w:bidi w:val="0"/>
        <w:spacing w:lineRule="auto" w:line="288" w:before="20" w:after="283"/>
        <w:ind w:left="0" w:right="0" w:hanging="360"/>
        <w:jc w:val="left"/>
        <w:rPr/>
      </w:pPr>
      <w:r>
        <w:rPr>
          <w:color w:val="000000"/>
        </w:rPr>
        <w:t>•</w:t>
      </w:r>
      <w:r>
        <w:rPr>
          <w:rFonts w:ascii="Times New Roman;serif" w:hAnsi="Times New Roman;serif"/>
          <w:b w:val="false"/>
          <w:color w:val="000000"/>
          <w:sz w:val="20"/>
        </w:rPr>
        <w:t>Paid down outstanding notes on existing securitizations totaling $182.7 million; and</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Redeemed our 5.00% senior notes totaling $175.0 million at maturity.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Refer to Note 14 for a description of our debt maturities by year and unfunded commitments at June 30, 2026.</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in July 2026, we issued $375.0 million of 6.25% Convertible Notes and used the net proceeds to repurchase 2,140,300 shares of our common stock for $11.6 million, repurchase $102.7 million of our common stock pursuant to a prepaid forward transaction and used the remaining proceeds, together with cash on hand, to redeem, in full, our outstanding $270.0 million 4.50% senior unsecured notes that were due in September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Derivative Financial Instruments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enter into derivative financial instruments in the normal course of business to manage the potential loss exposure caused by fluctuations of interest rates. See Note 12 for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Refer to Note 2 of the Notes to Consolidated Financial Statements in our 2025 Annual Report for a discussion of our critical accounting policies. During the six months ended June 30, 2026, there were no material changes to these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200" w:after="283"/>
        <w:jc w:val="left"/>
        <w:rPr/>
      </w:pPr>
      <w:r>
        <w:rPr>
          <w:rFonts w:ascii="Times New Roman;serif" w:hAnsi="Times New Roman;serif"/>
          <w:b/>
          <w:i/>
          <w:color w:val="000000"/>
          <w:sz w:val="20"/>
        </w:rPr>
        <w:t>Distributable Earnings.</w:t>
      </w:r>
      <w:r>
        <w:rPr>
          <w:color w:val="000000"/>
        </w:rPr>
        <w:t xml:space="preserve"> </w:t>
      </w:r>
      <w:r>
        <w:rPr>
          <w:rFonts w:ascii="Times New Roman;serif" w:hAnsi="Times New Roman;serif"/>
          <w:b w:val="false"/>
          <w:color w:val="000000"/>
          <w:sz w:val="20"/>
        </w:rPr>
        <w:t>We are presenting distributable earnings because we believe it is an important supplemental measure of our operating performance and is useful to investors, analysts and other parties in the evaluation of REITs and their ability to provide dividends to stockholders. Dividends are one of the principal reasons investors invest in REITs. To maintain REIT status, REITs are required to distribute at least 90% of their REIT-taxable income. We consider distributable earnings in determining our quarterly dividend and believe that, over time, distributable earnings is a useful indicator of our dividends per share.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define distributable earnings as net income (loss) attributable to common stockholders computed in accordance with GAAP, adjusted for accounting items such as depreciation and amortization (adjusted for unconsolidated joint ventures), non-cash stock-based compensation expense, income from MSRs, amortization and write-offs of MSRs, gains/losses on derivative instruments primarily associated with Private Label loans not yet sold and securitized, changes in fair value of GSE-related derivatives that temporarily flow through earnings, deferred tax provision (benefit), CECL provisions for credit losses (adjusted for realized losses as described below), gains/losses on the receipt of real estate from the settlement of loans and subsequent impairment losses on real estate owned prior to the sale of the real estate. We also add back one-time charges such as acquisition costs and one-time gains/losses on the early extinguishment of debt and redemption of preferred stock.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reduce distributable earnings for realized losses in the period we determine that a loan is deemed nonrecoverable in whole or in part. Loans are deemed nonrecoverable upon the earlier of: (1) when the loan receivable is repaid, or in the case of foreclosure, when the underlying asset is sold at which time any impairments and/or cumulative depreciation expense are realized; or (2) when we determine that it is nearly certain that all amounts due will not be collected. The realized loss amount is equal to the difference between the cash received, or expected to be received, and the book value of the asset.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Distributable earnings is not intended to be an indication of our cash flows from operating activities (determined in accordance with GAAP) or a measure of our liquidity, nor is it entirely indicative of funding our cash needs, including our ability to make cash distributions. Our calculation of distributable earnings may be different from the calculations used by other companies and, therefore, comparability may be limited.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76" w:before="0" w:after="0"/>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Distributable earnings are as follows ($ in thousands, except share and per share data):</w:t>
      </w:r>
    </w:p>
    <w:tbl>
      <w:tblPr>
        <w:tblW w:w="10205" w:type="dxa"/>
        <w:jc w:val="left"/>
        <w:tblInd w:w="0" w:type="dxa"/>
        <w:tblLayout w:type="fixed"/>
        <w:tblCellMar>
          <w:top w:w="28" w:type="dxa"/>
          <w:left w:w="28" w:type="dxa"/>
          <w:bottom w:w="28" w:type="dxa"/>
          <w:right w:w="28" w:type="dxa"/>
        </w:tblCellMar>
      </w:tblPr>
      <w:tblGrid>
        <w:gridCol w:w="1605"/>
        <w:gridCol w:w="1346"/>
        <w:gridCol w:w="1350"/>
        <w:gridCol w:w="264"/>
        <w:gridCol w:w="922"/>
        <w:gridCol w:w="109"/>
        <w:gridCol w:w="109"/>
        <w:gridCol w:w="109"/>
        <w:gridCol w:w="109"/>
        <w:gridCol w:w="231"/>
        <w:gridCol w:w="790"/>
        <w:gridCol w:w="120"/>
        <w:gridCol w:w="109"/>
        <w:gridCol w:w="109"/>
        <w:gridCol w:w="109"/>
        <w:gridCol w:w="264"/>
        <w:gridCol w:w="922"/>
        <w:gridCol w:w="109"/>
        <w:gridCol w:w="109"/>
        <w:gridCol w:w="109"/>
        <w:gridCol w:w="109"/>
        <w:gridCol w:w="211"/>
        <w:gridCol w:w="826"/>
        <w:gridCol w:w="155"/>
      </w:tblGrid>
      <w:tr>
        <w:trPr/>
        <w:tc>
          <w:tcPr>
            <w:tcW w:w="1605"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common stockholders</w:t>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23,952 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noncontrolling interest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mortgage servicing rights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(10,930)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(19,061)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benefit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and write-offs of MSRs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19,825 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derivative instruments,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real estate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Distributable earnings (1)</w:t>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52,069 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109,394 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 - GAAP (2)(3)</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190,806,800 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209,003,002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192,491,494 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207,938,574</w:t>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Dilutive effect of OP Units and RSUs (1)(3)</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16,854,295 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17,195,663 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 - Non-GAAP (1)(2)(3)</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207,661,095 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209,003,002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209,687,157 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207,938,574</w:t>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distributable earnings per share (1)(3)</w:t>
            </w:r>
          </w:p>
        </w:tc>
        <w:tc>
          <w:tcPr>
            <w:tcW w:w="26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2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5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(1)Amounts are attributable to common stockholders and OP Unit holders. The OP Units are redeemable for cash, or at our option for shares of our common stock on a one-for-one basis.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diluted weighted average shares outstanding are adjusted to exclude the potential shares issuable upon conversion and settlement of our convertible senior notes principal balance, which were fully settled in the third quarter of 2025. No adjustment was necessary for the three and six months ended June 30, 2025, as their effect was anti-dilutive and not reflected in the diluted weighted average shares outstanding.</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(3)For purposes of calculating diluted distributable earnings per share, diluted weighted average shares outstanding include the effect of potentially dilutive securities to the extent such securities are dilutive to distributable earnings, notwithstanding that such securities are excluded from diluted GAAP earnings per common share for the three and six months ended June 30, 2026 because their effect would be anti-dilutive due to the GAAP net loss incurred during those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disclosed a quantitative and qualitative analysis regarding market risk in Item 7A of our 2025 Annual Report. That information is supplemented by the information included above in Item 2 of this report. Other than the developments described thereunder, there have been no material changes in our exposure to market risk since December 31, 2025.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operating results are sensitive to fluctuations in interest rates, particularly in our Structured Business. Our structured loan portfolio and investments are primarily floating rate based on SOFR and a meaningful portion of our debt is fixed rate. Additionally, interest rate floors on certain loans, where applicable, may cause changes in interest income and interest expense to occur at different times or by different amounts. Therefore, while increases in interest rates generally benefit our net interest income because our structured loan portfolio and investments exceed our corresponding debt balances, fluctuations in interest rates do not necessarily correlate directly with the impact on our net interest income, particularly depending on the magnitude of such fluctuations and the effect of applicable interest rate floors.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76" w:before="0" w:after="0"/>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projects the potential impact on interest ($ in thousands) for a 12-month period, assuming a hypothetical instantaneous increase or decrease of both 50 and 100 basis points in corresponding interest rates.</w:t>
      </w:r>
    </w:p>
    <w:tbl>
      <w:tblPr>
        <w:tblW w:w="10205" w:type="dxa"/>
        <w:jc w:val="left"/>
        <w:tblInd w:w="0" w:type="dxa"/>
        <w:tblLayout w:type="fixed"/>
        <w:tblCellMar>
          <w:top w:w="28" w:type="dxa"/>
          <w:left w:w="28" w:type="dxa"/>
          <w:bottom w:w="28" w:type="dxa"/>
          <w:right w:w="28" w:type="dxa"/>
        </w:tblCellMar>
      </w:tblPr>
      <w:tblGrid>
        <w:gridCol w:w="1090"/>
        <w:gridCol w:w="928"/>
        <w:gridCol w:w="931"/>
        <w:gridCol w:w="217"/>
        <w:gridCol w:w="1113"/>
        <w:gridCol w:w="111"/>
        <w:gridCol w:w="109"/>
        <w:gridCol w:w="109"/>
        <w:gridCol w:w="109"/>
        <w:gridCol w:w="218"/>
        <w:gridCol w:w="745"/>
        <w:gridCol w:w="112"/>
        <w:gridCol w:w="109"/>
        <w:gridCol w:w="109"/>
        <w:gridCol w:w="109"/>
        <w:gridCol w:w="216"/>
        <w:gridCol w:w="847"/>
        <w:gridCol w:w="111"/>
        <w:gridCol w:w="109"/>
        <w:gridCol w:w="109"/>
        <w:gridCol w:w="109"/>
        <w:gridCol w:w="211"/>
        <w:gridCol w:w="764"/>
        <w:gridCol w:w="109"/>
        <w:gridCol w:w="109"/>
        <w:gridCol w:w="109"/>
        <w:gridCol w:w="109"/>
        <w:gridCol w:w="218"/>
        <w:gridCol w:w="790"/>
        <w:gridCol w:w="166"/>
      </w:tblGrid>
      <w:tr>
        <w:trPr/>
        <w:tc>
          <w:tcPr>
            <w:tcW w:w="109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Assets (Liabilities)</w:t>
              <w:br/>
              <w:t>Subject to Interest</w:t>
              <w:br/>
              <w:t>Rate Sensitivity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50 Basis Point</w:t>
              <w:br/>
              <w:t>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100 Basis Point</w:t>
              <w:br/>
              <w:t>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50 Basis Point</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100 Basis Point</w:t>
              <w:br/>
              <w:t>Decrease</w:t>
            </w:r>
          </w:p>
        </w:tc>
      </w:tr>
      <w:tr>
        <w:trPr/>
        <w:tc>
          <w:tcPr>
            <w:tcW w:w="2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from loans and investments</w:t>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12,107,031 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48,004 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100,505 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(63,287)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from debt obligations</w:t>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(10,754,156)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Impact to net interest income from loans and investments</w:t>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3,631 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11,425 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20,911 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from cash, restricted cash and escrow balances (2)</w:t>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1,662,504 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impact from hypothetical changes in interest rates</w:t>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11,944 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28,050 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4,286 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(1)Represents the UPB of our structured loan portfolio, the principal balance of our debt and the account balances of our cash, restricted cash and escrows at June 30, 2026.</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(2)Our cash, restricted cash and escrows are currently earning interest at a weighted average blended rate of approximately 3.3%, or approximately $55 million annually. Interest income earned on our cash and restricted cash is included as a component of interest income and interest income earned on escrows is included as a component of servicing revenue, net in the consolidated statements of operations. The interest earned on our cash, restricted cash and escrows is based on an average daily balance and may be different from the end of period balance.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entered into treasury futures to hedge our exposure to changes in interest rates inherent in (1) our held-for-sale Agency Business Private Label loans from the time the loans are rate locked until sale and securitization, and (2) our Agency Business SFR – fixed rate loans from the time the loans are originated until the time they can be financed with match term fixed rate securitized debt. Our treasury futures are tied to the 5-year and 10-year treasury rates and hedge our exposure to Private Label loans, until the time they are securitized, and changes in the fair value of our held-for-sale Agency Business SFR – fixed rate loans. A 50 basis point and a 100 basis point increase to the 5-year and 10-year treasury rates on our treasury futures held at June 30, 2026 would have resulted in a gain of $1.0 million and $2.3 million, respectively, in the six months ended June 30, 2026, while a 50 basis point and a 100 basis point decrease in the rates would have resulted in a loss of $1.7 million and $3.2 million, respectively.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Agency Business originates, sells and services a range of multifamily finance products with Fannie Mae, Freddie Mac and HUD. Our loans held-for-sale to these agencies are not currently exposed to interest rate risk during the loan commitment, closing and delivery process. The sale or placement of each loan to an investor is negotiated prior to closing on the loan with the borrower, and the sale or placement is generally effectuated within 60 days of closing. The coupon rate for the loan is set after we establish the interest rate with the investor.</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addition, the fair value of our MSRs is subject to market risk since a significant driver of the fair value of these assets is the discount rates. A 100 basis point increase in the weighted average discount rate would decrease the fair value of our MSRs by $12.1 million at June 30, 2026, while a 100 basis point decrease would increase the fair value by $12.7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Management, with the participation of our chief executive officer and chief financial officer, has evaluated the effectiveness of our disclosure controls and procedures at June 30, 2026. Based on this evaluation, our chief executive officer and chief financial officer have concluded that our disclosure controls and procedures were effective at June 30, 2026.</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quarter ended June 30, 2026 that have materially affected, or are reasonably likely to materially affect, our internal controls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Information with respect to certain legal proceedings is set forth in Note 14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556" w:before="20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set forth in Item 1A of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76" w:before="0" w:after="0"/>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00" w:after="283"/>
        <w:jc w:val="left"/>
        <w:rPr/>
      </w:pPr>
      <w:r>
        <w:rPr>
          <w:rFonts w:ascii="Times New Roman;serif" w:hAnsi="Times New Roman;serif"/>
          <w:b/>
          <w:i/>
          <w:color w:val="000000"/>
          <w:sz w:val="20"/>
        </w:rPr>
        <w:t>Share Repurchases.</w:t>
      </w:r>
      <w:r>
        <w:rPr>
          <w:color w:val="000000"/>
        </w:rPr>
        <w:t xml:space="preserve"> </w:t>
      </w:r>
      <w:r>
        <w:rPr>
          <w:rFonts w:ascii="Times New Roman;serif" w:hAnsi="Times New Roman;serif"/>
          <w:b w:val="false"/>
          <w:color w:val="000000"/>
          <w:sz w:val="20"/>
        </w:rPr>
        <w:t>We have a share repurchase program providing for the repurchase of up to $150.0 million of our outstanding common stock. The repurchase of our common stock may be made from time to time in the open market, through privately negotiated transactions, or otherwise in compliance with Rule 10b-18 and Rule 10b5-1 under the Exchange Act, based on our stock price, general market conditions, applicable legal requirements and other factors. At June 30, 2026, there was $85.2 million available for repurchase under this program. The program may be discontinued or modified at any time.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During the period covered by this report, no Arbor director or officer adopted, modified or terminated any "Rule 10b5-1 trading arrangement" or "non-Rule 10b5-1 trading arrangement," as each term is defined in Item 408 of Regulation S-K.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all common stock purchases made by or on behalf of us and any “affiliated purchaser,” as defined in Rule 10b-18(a)(3) under the Exchange Act, during each of the indicated periods ($ in thousands, except share and per share data).</w:t>
      </w:r>
    </w:p>
    <w:tbl>
      <w:tblPr>
        <w:tblW w:w="10205" w:type="dxa"/>
        <w:jc w:val="left"/>
        <w:tblInd w:w="0" w:type="dxa"/>
        <w:tblLayout w:type="fixed"/>
        <w:tblCellMar>
          <w:top w:w="28" w:type="dxa"/>
          <w:left w:w="28" w:type="dxa"/>
          <w:bottom w:w="28" w:type="dxa"/>
          <w:right w:w="28" w:type="dxa"/>
        </w:tblCellMar>
      </w:tblPr>
      <w:tblGrid>
        <w:gridCol w:w="317"/>
        <w:gridCol w:w="279"/>
        <w:gridCol w:w="282"/>
        <w:gridCol w:w="109"/>
        <w:gridCol w:w="109"/>
        <w:gridCol w:w="109"/>
        <w:gridCol w:w="511"/>
        <w:gridCol w:w="458"/>
        <w:gridCol w:w="459"/>
        <w:gridCol w:w="109"/>
        <w:gridCol w:w="109"/>
        <w:gridCol w:w="109"/>
        <w:gridCol w:w="336"/>
        <w:gridCol w:w="816"/>
        <w:gridCol w:w="173"/>
        <w:gridCol w:w="109"/>
        <w:gridCol w:w="109"/>
        <w:gridCol w:w="109"/>
        <w:gridCol w:w="1031"/>
        <w:gridCol w:w="771"/>
        <w:gridCol w:w="774"/>
        <w:gridCol w:w="109"/>
        <w:gridCol w:w="109"/>
        <w:gridCol w:w="109"/>
        <w:gridCol w:w="475"/>
        <w:gridCol w:w="1861"/>
        <w:gridCol w:w="354"/>
      </w:tblGrid>
      <w:tr>
        <w:trPr/>
        <w:tc>
          <w:tcPr>
            <w:tcW w:w="31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8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a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Approximate Dollar Value of Shares that May Yet Be Purchased Under the Program</w:t>
            </w:r>
          </w:p>
        </w:tc>
      </w:tr>
      <w:tr>
        <w:trPr/>
        <w:tc>
          <w:tcPr>
            <w:tcW w:w="87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April 1 - 30,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105,899 </w:t>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1 - 31,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2,841,893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2,841,893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88,970 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1 - 30,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699,536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699,536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85,188 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3,550,691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3,550,691 </w:t>
            </w:r>
          </w:p>
        </w:tc>
        <w:tc>
          <w:tcPr>
            <w:tcW w:w="7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(1)Excludes broker commission fees.</w:t>
      </w:r>
    </w:p>
    <w:p>
      <w:pPr>
        <w:pStyle w:val="TextBody"/>
        <w:bidi w:val="0"/>
        <w:spacing w:before="0" w:after="0"/>
        <w:jc w:val="left"/>
        <w:rPr/>
      </w:pPr>
      <w:r>
        <w:rPr/>
      </w:r>
    </w:p>
    <w:p>
      <w:pPr>
        <w:pStyle w:val="TextBody"/>
        <w:bidi w:val="0"/>
        <w:spacing w:lineRule="auto" w:line="288" w:before="200" w:after="283"/>
        <w:jc w:val="left"/>
        <w:rPr/>
      </w:pPr>
      <w:r>
        <w:rPr>
          <w:rFonts w:ascii="Times New Roman;serif" w:hAnsi="Times New Roman;serif"/>
          <w:b/>
          <w:i/>
          <w:color w:val="000000"/>
          <w:sz w:val="20"/>
        </w:rPr>
        <w:t>Supplement to U.S. Federal Income Tax Considerations.</w:t>
      </w:r>
      <w:r>
        <w:rPr>
          <w:color w:val="000000"/>
        </w:rPr>
        <w:t xml:space="preserve"> </w:t>
      </w:r>
      <w:r>
        <w:rPr>
          <w:rFonts w:ascii="Times New Roman;serif" w:hAnsi="Times New Roman;serif"/>
          <w:b w:val="false"/>
          <w:color w:val="000000"/>
          <w:sz w:val="20"/>
        </w:rPr>
        <w:t>The following summary of certain U.S. federal income tax considerations supplements the discussion set forth under the heading “U.S. Federal Income Tax Considerations” in the shelf registration statement on Form S-3ASR filed with the Securities and Exchange Commission on May 3, 2024, including the base prospectus dated as of May 3, 2024 (the “Prospectus”), as amended under the heading “Risk Factors” in our Annual Reports on Form 10-K for the years ended December 31, 2024 and December 31, 2025, and is subject to the qualifications set forth therein. Capitalized terms used but not defined herein have the meanings set forth in the Prospectus. The following summary is for general information only and is not tax advice. This discussion does not purport to deal with all aspects of taxation that may be relevant to our shareholders in light of their personal investment or tax circumstances.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OBBBA modified certain disclosures under “U.S. Federal Income Tax Considerations” in the Prospectus. Please see below for a brief description of these modifications.</w:t>
      </w:r>
    </w:p>
    <w:p>
      <w:pPr>
        <w:pStyle w:val="TextBody"/>
        <w:bidi w:val="0"/>
        <w:spacing w:before="0" w:after="0"/>
        <w:jc w:val="left"/>
        <w:rPr/>
      </w:pPr>
      <w:r>
        <w:rPr/>
      </w:r>
    </w:p>
    <w:p>
      <w:pPr>
        <w:pStyle w:val="TextBody"/>
        <w:bidi w:val="0"/>
        <w:spacing w:lineRule="auto" w:line="288" w:before="20" w:after="283"/>
        <w:ind w:left="0" w:right="0" w:hanging="360"/>
        <w:jc w:val="left"/>
        <w:rPr/>
      </w:pPr>
      <w:r>
        <w:rPr>
          <w:color w:val="000000"/>
        </w:rPr>
        <w:t>•</w:t>
      </w:r>
      <w:r>
        <w:rPr>
          <w:rFonts w:ascii="Times New Roman;serif" w:hAnsi="Times New Roman;serif"/>
          <w:b w:val="false"/>
          <w:color w:val="000000"/>
          <w:sz w:val="20"/>
        </w:rPr>
        <w:t>As described in the Prospectus, stockholders that are individuals, trusts or estates are generally entitled to a deduction equal to 20% of the aggregate amount of ordinary income dividends received from a REIT (not including capital gain dividends or dividends eligible for the reduced rates applicable to “qualified dividend income”), subject to certain limitations. Although originally scheduled to expire for taxable years beginning on or after January 1, 2026, the legislation made this 20% deduction permanent; and</w:t>
      </w:r>
    </w:p>
    <w:p>
      <w:pPr>
        <w:pStyle w:val="TextBody"/>
        <w:bidi w:val="0"/>
        <w:spacing w:lineRule="auto" w:line="288" w:before="20" w:after="283"/>
        <w:ind w:left="0" w:right="0" w:hanging="360"/>
        <w:jc w:val="left"/>
        <w:rPr/>
      </w:pPr>
      <w:r>
        <w:rPr>
          <w:color w:val="000000"/>
        </w:rPr>
        <w:t>•</w:t>
      </w:r>
      <w:r>
        <w:rPr>
          <w:rFonts w:ascii="Times New Roman;serif" w:hAnsi="Times New Roman;serif"/>
          <w:b w:val="false"/>
          <w:color w:val="000000"/>
          <w:sz w:val="20"/>
        </w:rPr>
        <w:t>The limitation on a REIT’s ownership of TRS securities has been increased from 20% to 25% of the REIT’s total assets, effective for taxable years beginning after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76" w:before="0" w:after="0"/>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40"/>
        <w:gridCol w:w="210"/>
        <w:gridCol w:w="213"/>
        <w:gridCol w:w="109"/>
        <w:gridCol w:w="109"/>
        <w:gridCol w:w="109"/>
        <w:gridCol w:w="2269"/>
        <w:gridCol w:w="2127"/>
        <w:gridCol w:w="2148"/>
        <w:gridCol w:w="109"/>
        <w:gridCol w:w="109"/>
        <w:gridCol w:w="109"/>
        <w:gridCol w:w="170"/>
        <w:gridCol w:w="170"/>
        <w:gridCol w:w="171"/>
        <w:gridCol w:w="112"/>
        <w:gridCol w:w="112"/>
        <w:gridCol w:w="112"/>
        <w:gridCol w:w="216"/>
        <w:gridCol w:w="216"/>
        <w:gridCol w:w="217"/>
        <w:gridCol w:w="112"/>
        <w:gridCol w:w="112"/>
        <w:gridCol w:w="112"/>
        <w:gridCol w:w="156"/>
        <w:gridCol w:w="156"/>
        <w:gridCol w:w="200"/>
      </w:tblGrid>
      <w:tr>
        <w:trPr/>
        <w:tc>
          <w:tcPr>
            <w:tcW w:w="24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15"/>
            <w:tcBorders/>
            <w:tcMar>
              <w:top w:w="0" w:type="dxa"/>
              <w:left w:w="0" w:type="dxa"/>
              <w:bottom w:w="0" w:type="dxa"/>
              <w:right w:w="0" w:type="dxa"/>
            </w:tcMar>
            <w:vAlign w:val="center"/>
          </w:tcPr>
          <w:p>
            <w:pPr>
              <w:pStyle w:val="TableContents"/>
              <w:bidi w:val="0"/>
              <w:spacing w:lineRule="auto" w:line="288"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6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 #</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6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Articles of Incorporation of Arbor Realty Trust,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S-11</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11/13/03</w:t>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Articles of Amendment to Articles of Incorporation of Arbor Realty Trust,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08/07/07</w:t>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Amended and Restated Bylaws of Arbor Realty Trust,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12/01/20</w:t>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Employment Agreement by and between Arbor Realty Trust, Inc. and Yoni Goodman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02/17/26</w:t>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0"/>
                  <w:u w:val="single"/>
                </w:rPr>
                <w:t>Amendment to Employment Agreement by and between Arbor Realty Trust, Inc. and Yoni Goodman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02/17/26</w:t>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r>
      <w:tr>
        <w:trPr/>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r>
      <w:tr>
        <w:trPr/>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r>
      <w:tr>
        <w:trPr/>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r>
      <w:tr>
        <w:trPr/>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r>
      <w:tr>
        <w:trPr/>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br-06302026exx311.htm">
              <w:r>
                <w:rPr>
                  <w:rStyle w:val="InternetLink"/>
                  <w:rFonts w:ascii="Times New Roman;serif" w:hAnsi="Times New Roman;serif"/>
                  <w:b w:val="false"/>
                  <w:color w:val="0000FF"/>
                  <w:sz w:val="20"/>
                  <w:u w:val="single"/>
                </w:rPr>
                <w:t>Certification of Chief Executive Officer pursuant to Exchange Act Rule 13a-14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br-06302026exx312.htm">
              <w:r>
                <w:rPr>
                  <w:rStyle w:val="InternetLink"/>
                  <w:rFonts w:ascii="Times New Roman;serif" w:hAnsi="Times New Roman;serif"/>
                  <w:b w:val="false"/>
                  <w:color w:val="0000FF"/>
                  <w:sz w:val="20"/>
                  <w:u w:val="single"/>
                </w:rPr>
                <w:t>Certification of Chief Financial Officer pursuant to Exchange Act Rule 13a-14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br-06302026exx32.htm">
              <w:r>
                <w:rPr>
                  <w:rStyle w:val="InternetLink"/>
                  <w:rFonts w:ascii="Times New Roman;serif" w:hAnsi="Times New Roman;serif"/>
                  <w:b w:val="false"/>
                  <w:color w:val="0000FF"/>
                  <w:sz w:val="20"/>
                  <w:u w:val="single"/>
                </w:rPr>
                <w:t>Certifications of Chief Executive Officer and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Financial statements from the Quarterly Report on Form 10-Q of Arbor Realty Trust, Inc. for the quarter ended June 30, 2026, filed on July 31, 2026, formatted in Inline Extensible Business Reporting Language (“XBRL”): (1) the Consolidated Balance Sheets, (2) the Consolidated Statements of Operations, (3) the Consolidated Statements of Changes in Equity, (4) the Consolidated Statements of Cash Flows and (5) the Notes to Consolidated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accordance with Item 601(b)(4)(iii)(A) of Regulation S-K, copies of certain instruments defining the rights of holders of our long-term debt are not filed herewith. Pursuant to this regulation, we hereby agree to furnish a copy of any such instrument to the SEC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76" w:before="0" w:after="0"/>
        <w:jc w:val="left"/>
        <w:rPr/>
      </w:pPr>
      <w:hyperlink w:anchor="i82f91a529d264cd6a63b807ade0c0d9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111" w:type="dxa"/>
        <w:jc w:val="left"/>
        <w:tblInd w:w="0" w:type="dxa"/>
        <w:tblLayout w:type="fixed"/>
        <w:tblCellMar>
          <w:top w:w="28" w:type="dxa"/>
          <w:left w:w="28" w:type="dxa"/>
          <w:bottom w:w="28" w:type="dxa"/>
          <w:right w:w="28" w:type="dxa"/>
        </w:tblCellMar>
      </w:tblPr>
      <w:tblGrid>
        <w:gridCol w:w="618"/>
        <w:gridCol w:w="544"/>
        <w:gridCol w:w="547"/>
        <w:gridCol w:w="444"/>
        <w:gridCol w:w="444"/>
        <w:gridCol w:w="444"/>
        <w:gridCol w:w="600"/>
        <w:gridCol w:w="600"/>
        <w:gridCol w:w="870"/>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ARBOR REALTY TRUST, INC</w:t>
            </w:r>
            <w:r>
              <w:rPr>
                <w:rFonts w:ascii="Times New Roman;serif" w:hAnsi="Times New Roman;serif"/>
                <w:b w:val="false"/>
                <w:color w:val="000000"/>
                <w:sz w:val="20"/>
              </w:rPr>
              <w:t>.</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13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Ivan Kaufman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Ivan Kaufman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13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Paul Elenio</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Paul Elenio</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Ivan Kaufman, certify that: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Arbor Realty Trust, Inc.;</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289"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49"/>
        <w:gridCol w:w="149"/>
        <w:gridCol w:w="151"/>
        <w:gridCol w:w="605"/>
        <w:gridCol w:w="605"/>
        <w:gridCol w:w="86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Ivan Kaufman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Ivan Kaufman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Paul Elenio, certify that: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Arbor Realty Trust, Inc.;</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183"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34"/>
        <w:gridCol w:w="134"/>
        <w:gridCol w:w="136"/>
        <w:gridCol w:w="587"/>
        <w:gridCol w:w="587"/>
        <w:gridCol w:w="83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Paul Elenio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Elenio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Certifications of Chief Executive Officer and Chief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Arbor Realty Trust, Inc. (the “Company”) for the quarter ended June 30, 2026, as filed with the Securities and Exchange Commission on the date hereof (the “Report”), each of the undersigned officers of the Company, hereby certifies, pursuant to 18 U.S.C. Section 1350, as adopted pursuant to Section 906 of the Sarbanes-Oxley Act of 2002, that, to the best of our knowledge:</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288" w:type="dxa"/>
        <w:jc w:val="left"/>
        <w:tblInd w:w="0" w:type="dxa"/>
        <w:tblLayout w:type="fixed"/>
        <w:tblCellMar>
          <w:top w:w="28" w:type="dxa"/>
          <w:left w:w="28" w:type="dxa"/>
          <w:bottom w:w="28" w:type="dxa"/>
          <w:right w:w="28" w:type="dxa"/>
        </w:tblCellMar>
      </w:tblPr>
      <w:tblGrid>
        <w:gridCol w:w="216"/>
        <w:gridCol w:w="191"/>
        <w:gridCol w:w="192"/>
        <w:gridCol w:w="404"/>
        <w:gridCol w:w="404"/>
        <w:gridCol w:w="407"/>
        <w:gridCol w:w="134"/>
        <w:gridCol w:w="134"/>
        <w:gridCol w:w="136"/>
        <w:gridCol w:w="605"/>
        <w:gridCol w:w="605"/>
        <w:gridCol w:w="860"/>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2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Ivan Kaufman</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Ivan Kaufman</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Paul Elenio</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Paul Elenio</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This certification is being furnished and shall not be deemed filed by the Company for purposes of Section 18 of the Securities Exchange Act of 1934, as amended.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certification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53986/000095012303012643/y90410exv3w1.txt" TargetMode="External"/><Relationship Id="rId3" Type="http://schemas.openxmlformats.org/officeDocument/2006/relationships/hyperlink" Target="https://www.sec.gov/Archives/edgar/data/1253986/000095012307010974/y37974exv3w2.htm" TargetMode="External"/><Relationship Id="rId4" Type="http://schemas.openxmlformats.org/officeDocument/2006/relationships/hyperlink" Target="https://www.sec.gov/Archives/edgar/data/1253986/000110465920131158/tm2037401d1_ex3-1.htm" TargetMode="External"/><Relationship Id="rId5" Type="http://schemas.openxmlformats.org/officeDocument/2006/relationships/hyperlink" Target="https://www.sec.gov/Archives/edgar/data/1253986/000125398626000011/exhibit101employmentagreem.htm" TargetMode="External"/><Relationship Id="rId6" Type="http://schemas.openxmlformats.org/officeDocument/2006/relationships/hyperlink" Target="https://www.sec.gov/Archives/edgar/data/1253986/000125398626000011/exhibit102amendmenttoemplo.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40755</Words>
  <Characters>220034</Characters>
  <CharactersWithSpaces>257370</CharactersWithSpaces>
  <Paragraphs>7309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