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5590-1_4seq1.xml.htm"/>
      <w:bookmarkStart w:id="1" w:name="kstm2625590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Wachter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ARBOR REALTY TRUST,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EARLE OVINGTON BLVD, SUITE 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UNIONDALE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ARBOR REALTY TRUST INC</w:t>
              </w:r>
            </w:hyperlink>
            <w:r>
              <w:rPr/>
              <w:t xml:space="preserve"> [ </w:t>
            </w:r>
            <w:r>
              <w:rPr>
                <w:rFonts w:ascii="Times;serif" w:hAnsi="Times;serif"/>
                <w:color w:val="0000FF"/>
                <w:sz w:val="24"/>
                <w:shd w:fill="FFFFFF" w:val="clear"/>
              </w:rPr>
              <w:t>ABR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Asset Finance &amp; Treasury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21,786</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117,464</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9,179</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4.59</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108,285</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of common stock par value $0.01 per share of Arbor Realty Trust, Inc. (the"Company") granted pursuant to the Company's 2026 Amended Omnibus Stock Incentive Plan. One third vest on the date of grant, one third vest in one year and one third vest in two years.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that have been withheld by the Company to satisfy tax-withholding obligations in connection with the vesting of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Maysa Vahidi, Attorney-in-Fact for Kevin Wachter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78110" TargetMode="External"/><Relationship Id="rId5" Type="http://schemas.openxmlformats.org/officeDocument/2006/relationships/hyperlink" Target="http://www.sec.gov/cgi-bin/browse-edgar?action=getcompany&amp;CIK=00012539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664</Words>
  <Characters>3555</Characters>
  <CharactersWithSpaces>4142</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