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4574-2_4seq1.xml.htm"/>
      <w:bookmarkStart w:id="1" w:name="kstm2624574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LAZAR MELVIN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ARBOR REALTY TRUST,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333 EARLE OVINGTON BLVD, SUITE 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UNIONDALE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11553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ARBOR REALTY TRUST INC</w:t>
              </w:r>
            </w:hyperlink>
            <w:r>
              <w:rPr/>
              <w:t xml:space="preserve"> [ </w:t>
            </w:r>
            <w:r>
              <w:rPr>
                <w:rFonts w:ascii="Times;serif" w:hAnsi="Times;serif"/>
                <w:color w:val="0000FF"/>
                <w:sz w:val="24"/>
                <w:shd w:fill="FFFFFF" w:val="clear"/>
              </w:rPr>
              <w:t>ABR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1,842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5.02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56,266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28, 2026, Mr. Lazar received 1,842 fully vested Restricted Stock Units ("RSUs") of Arbor Realty Trust, Inc. in lieu of the dividend equivalent due on Mr. Lazar's existing RSUs. Mr. Lazar has elected to defer his dividend equivalents and receipt of the common stock into which the RSUs are converted until his service as a director is terminated, or sooner upon a change in control, pursuant to a pre-established deferral election.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Maysa Vahidi, Attorney-in-Fact for Melvin F. Lazar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8403" TargetMode="External"/><Relationship Id="rId5" Type="http://schemas.openxmlformats.org/officeDocument/2006/relationships/hyperlink" Target="http://www.sec.gov/cgi-bin/browse-edgar?action=getcompany&amp;CIK=000125398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657</Words>
  <Characters>3525</Characters>
  <CharactersWithSpaces>4111</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